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5BA6D151" w:rsidR="00C64E57" w:rsidRDefault="00DA283C" w:rsidP="00C64E57">
      <w:pPr>
        <w:spacing w:after="0"/>
        <w:rPr>
          <w:sz w:val="20"/>
        </w:rPr>
      </w:pPr>
      <w:r>
        <w:rPr>
          <w:sz w:val="20"/>
        </w:rPr>
        <w:t xml:space="preserve">Materialblatt </w:t>
      </w:r>
      <w:r w:rsidR="007E2A4A">
        <w:rPr>
          <w:sz w:val="20"/>
        </w:rPr>
        <w:t>401</w:t>
      </w:r>
    </w:p>
    <w:p w14:paraId="441B389F" w14:textId="4A76CD48" w:rsidR="00E33A8F" w:rsidRDefault="008D6374" w:rsidP="00E33A8F">
      <w:pPr>
        <w:spacing w:after="0" w:line="240" w:lineRule="auto"/>
        <w:rPr>
          <w:sz w:val="20"/>
        </w:rPr>
      </w:pPr>
      <w:r w:rsidRPr="008D6374">
        <w:rPr>
          <w:sz w:val="20"/>
        </w:rPr>
        <w:t>Stichworte:</w:t>
      </w:r>
    </w:p>
    <w:p w14:paraId="7B2092D2" w14:textId="77777777" w:rsidR="00E738A6" w:rsidRDefault="00E738A6" w:rsidP="00E738A6">
      <w:pPr>
        <w:spacing w:after="0" w:line="240" w:lineRule="auto"/>
        <w:ind w:left="284"/>
        <w:rPr>
          <w:sz w:val="20"/>
        </w:rPr>
      </w:pPr>
      <w:r>
        <w:rPr>
          <w:sz w:val="20"/>
        </w:rPr>
        <w:t>Augustinus</w:t>
      </w:r>
    </w:p>
    <w:p w14:paraId="2BAD6AD1" w14:textId="77777777" w:rsidR="00E738A6" w:rsidRDefault="00E738A6" w:rsidP="00E738A6">
      <w:pPr>
        <w:spacing w:after="0" w:line="240" w:lineRule="auto"/>
        <w:ind w:left="284"/>
        <w:rPr>
          <w:sz w:val="20"/>
        </w:rPr>
      </w:pPr>
      <w:r>
        <w:rPr>
          <w:sz w:val="20"/>
        </w:rPr>
        <w:t>Erbsünde</w:t>
      </w:r>
    </w:p>
    <w:p w14:paraId="36E79663" w14:textId="77777777" w:rsidR="00E738A6" w:rsidRDefault="00E738A6" w:rsidP="00E738A6">
      <w:pPr>
        <w:spacing w:after="0" w:line="240" w:lineRule="auto"/>
        <w:ind w:left="284"/>
        <w:rPr>
          <w:sz w:val="20"/>
        </w:rPr>
      </w:pPr>
      <w:r>
        <w:rPr>
          <w:sz w:val="20"/>
        </w:rPr>
        <w:t>Manichäismus</w:t>
      </w:r>
    </w:p>
    <w:p w14:paraId="6D813239" w14:textId="77777777" w:rsidR="00E738A6" w:rsidRDefault="00E738A6" w:rsidP="00E738A6">
      <w:pPr>
        <w:spacing w:after="0" w:line="240" w:lineRule="auto"/>
        <w:ind w:left="284"/>
        <w:rPr>
          <w:sz w:val="20"/>
        </w:rPr>
      </w:pPr>
      <w:r>
        <w:rPr>
          <w:sz w:val="20"/>
        </w:rPr>
        <w:t>Pelagius</w:t>
      </w:r>
    </w:p>
    <w:p w14:paraId="1070A1E1" w14:textId="77777777" w:rsidR="00E738A6" w:rsidRDefault="00E738A6" w:rsidP="00E738A6">
      <w:pPr>
        <w:spacing w:after="240" w:line="240" w:lineRule="auto"/>
        <w:ind w:left="284"/>
        <w:rPr>
          <w:sz w:val="20"/>
        </w:rPr>
      </w:pPr>
      <w:r>
        <w:rPr>
          <w:sz w:val="20"/>
        </w:rPr>
        <w:t>Taufe</w:t>
      </w:r>
    </w:p>
    <w:p w14:paraId="65E11B81" w14:textId="023C2C8F" w:rsidR="00511260" w:rsidRDefault="00511260" w:rsidP="00511260">
      <w:pPr>
        <w:pStyle w:val="Untertitel"/>
        <w:rPr>
          <w:rFonts w:eastAsia="Calibri"/>
        </w:rPr>
      </w:pPr>
      <w:r>
        <w:rPr>
          <w:rFonts w:eastAsia="Calibri"/>
        </w:rPr>
        <w:t>Augustinus und die kirchliche Erbsündenlehre</w:t>
      </w:r>
    </w:p>
    <w:p w14:paraId="07E921AC" w14:textId="77777777" w:rsidR="00511260" w:rsidRPr="00071438" w:rsidRDefault="00511260" w:rsidP="00511260">
      <w:pPr>
        <w:pStyle w:val="margrechts"/>
        <w:framePr w:wrap="around"/>
      </w:pPr>
      <w:r w:rsidRPr="00071438">
        <w:t xml:space="preserve">Manichäismus: Der Mensch muss </w:t>
      </w:r>
      <w:r>
        <w:t>und kann s</w:t>
      </w:r>
      <w:r w:rsidRPr="00071438">
        <w:t>ich kraft eigenen Bemühens vom bösen Weltprinzip trennen und sich für das gute Weltprinzip (Gott) entscheiden. Die Konkupiszenz ist das Prinzip des Bösen im Menschen.</w:t>
      </w:r>
    </w:p>
    <w:p w14:paraId="15BD75FD" w14:textId="77777777" w:rsidR="00511260" w:rsidRPr="00071438" w:rsidRDefault="00511260" w:rsidP="00511260">
      <w:pPr>
        <w:pStyle w:val="Listenfortsetzung"/>
        <w:ind w:left="0" w:right="2041"/>
        <w:contextualSpacing w:val="0"/>
        <w:rPr>
          <w:szCs w:val="24"/>
        </w:rPr>
      </w:pPr>
      <w:r w:rsidRPr="00071438">
        <w:rPr>
          <w:szCs w:val="24"/>
        </w:rPr>
        <w:t xml:space="preserve">Der geistesgeschichtlich in der (neu-)platonischen Philosophie beheimatete und für die Ausbildung der meisten christlichen Glaubenslehren (‚Dogmen‘) entscheidend wirkmächtige Bischof von </w:t>
      </w:r>
      <w:proofErr w:type="spellStart"/>
      <w:r w:rsidRPr="00071438">
        <w:rPr>
          <w:szCs w:val="24"/>
        </w:rPr>
        <w:t>Hippo</w:t>
      </w:r>
      <w:proofErr w:type="spellEnd"/>
      <w:r>
        <w:rPr>
          <w:szCs w:val="24"/>
        </w:rPr>
        <w:t xml:space="preserve"> (Nordafrika)</w:t>
      </w:r>
      <w:r w:rsidRPr="00071438">
        <w:rPr>
          <w:szCs w:val="24"/>
        </w:rPr>
        <w:t>, Augustinus (354-430), ist in der Spätphase seines Wirkens stark vom Manichäismus beeinflusst</w:t>
      </w:r>
      <w:r>
        <w:rPr>
          <w:szCs w:val="24"/>
        </w:rPr>
        <w:t xml:space="preserve">. Dies ist der Name einer </w:t>
      </w:r>
      <w:r w:rsidRPr="00071438">
        <w:rPr>
          <w:szCs w:val="24"/>
        </w:rPr>
        <w:t>philosophischen Tradition, deren Begründer</w:t>
      </w:r>
      <w:r>
        <w:rPr>
          <w:szCs w:val="24"/>
        </w:rPr>
        <w:t>,</w:t>
      </w:r>
      <w:r w:rsidRPr="00071438">
        <w:rPr>
          <w:szCs w:val="24"/>
        </w:rPr>
        <w:t xml:space="preserve"> Mani (gest. 277)</w:t>
      </w:r>
      <w:r>
        <w:rPr>
          <w:szCs w:val="24"/>
        </w:rPr>
        <w:t>,</w:t>
      </w:r>
      <w:r w:rsidRPr="00071438">
        <w:rPr>
          <w:szCs w:val="24"/>
        </w:rPr>
        <w:t xml:space="preserve"> </w:t>
      </w:r>
      <w:r>
        <w:rPr>
          <w:szCs w:val="24"/>
        </w:rPr>
        <w:t xml:space="preserve">davon ausging, dass alles, dass das Sein und Werden der ganzen Welt </w:t>
      </w:r>
      <w:r w:rsidRPr="00071438">
        <w:rPr>
          <w:szCs w:val="24"/>
        </w:rPr>
        <w:t xml:space="preserve">von einem Dualismus zwischen einem guten und einem bösen Prinzip </w:t>
      </w:r>
      <w:r>
        <w:rPr>
          <w:szCs w:val="24"/>
        </w:rPr>
        <w:t>bestimmt ist</w:t>
      </w:r>
      <w:r w:rsidRPr="00071438">
        <w:rPr>
          <w:szCs w:val="24"/>
        </w:rPr>
        <w:t>.</w:t>
      </w:r>
      <w:r w:rsidRPr="00071438">
        <w:rPr>
          <w:rStyle w:val="Funotenzeichen"/>
          <w:szCs w:val="24"/>
        </w:rPr>
        <w:footnoteReference w:id="1"/>
      </w:r>
      <w:r w:rsidRPr="00071438">
        <w:rPr>
          <w:szCs w:val="24"/>
        </w:rPr>
        <w:t xml:space="preserve"> Mani </w:t>
      </w:r>
      <w:r>
        <w:rPr>
          <w:szCs w:val="24"/>
        </w:rPr>
        <w:t xml:space="preserve">hatte </w:t>
      </w:r>
      <w:r w:rsidRPr="00071438">
        <w:rPr>
          <w:szCs w:val="24"/>
        </w:rPr>
        <w:t xml:space="preserve">die geschichtliche Epoche, in der er lebte, als Übergangsphase begriffen, in der </w:t>
      </w:r>
      <w:r>
        <w:rPr>
          <w:szCs w:val="24"/>
        </w:rPr>
        <w:t xml:space="preserve">diese </w:t>
      </w:r>
      <w:r w:rsidRPr="00071438">
        <w:rPr>
          <w:szCs w:val="24"/>
        </w:rPr>
        <w:t>beide</w:t>
      </w:r>
      <w:r>
        <w:rPr>
          <w:szCs w:val="24"/>
        </w:rPr>
        <w:t>n</w:t>
      </w:r>
      <w:r w:rsidRPr="00071438">
        <w:rPr>
          <w:szCs w:val="24"/>
        </w:rPr>
        <w:t xml:space="preserve"> Prinzipien noch vermischt </w:t>
      </w:r>
      <w:r>
        <w:rPr>
          <w:szCs w:val="24"/>
        </w:rPr>
        <w:t xml:space="preserve">seien. Nach </w:t>
      </w:r>
      <w:r w:rsidRPr="00071438">
        <w:rPr>
          <w:szCs w:val="24"/>
        </w:rPr>
        <w:t xml:space="preserve">Auffassung des Manichäismus </w:t>
      </w:r>
      <w:r>
        <w:rPr>
          <w:szCs w:val="24"/>
        </w:rPr>
        <w:t xml:space="preserve">bestand </w:t>
      </w:r>
      <w:r w:rsidRPr="00071438">
        <w:rPr>
          <w:szCs w:val="24"/>
        </w:rPr>
        <w:t>die Aufgabe des Menschen darin, in sich selbst und in der Welt beide Prinzipien zu trennen, sodann gegen das böse Prinzip anzukämpfen, in Kraft nämlich ver</w:t>
      </w:r>
      <w:r>
        <w:rPr>
          <w:szCs w:val="24"/>
        </w:rPr>
        <w:t>nünf</w:t>
      </w:r>
      <w:r w:rsidRPr="00071438">
        <w:rPr>
          <w:szCs w:val="24"/>
        </w:rPr>
        <w:t xml:space="preserve">tiger Einsichtnahme, engagierten Bemühens und </w:t>
      </w:r>
      <w:r>
        <w:rPr>
          <w:szCs w:val="24"/>
        </w:rPr>
        <w:t xml:space="preserve">insgesamt </w:t>
      </w:r>
      <w:r w:rsidRPr="00071438">
        <w:rPr>
          <w:szCs w:val="24"/>
        </w:rPr>
        <w:t>aktiv-</w:t>
      </w:r>
      <w:r>
        <w:rPr>
          <w:szCs w:val="24"/>
        </w:rPr>
        <w:t xml:space="preserve">motivierten </w:t>
      </w:r>
      <w:r w:rsidRPr="00071438">
        <w:rPr>
          <w:szCs w:val="24"/>
        </w:rPr>
        <w:t>Handelns. Der Mensch solle sich auf die Seite des Guten (Gottes) begeben, sich gegen das Böse (Satan) wenden. Nach Auskunft des Manichäismus manifestierte sich besonders in der menschlichen Konkupiszenz, also im Verlangen nach ‚fleischlichen‘, vor allem ‚sexuellen‘ Gelüsten, das Prinzip des Bösen</w:t>
      </w:r>
      <w:r>
        <w:rPr>
          <w:szCs w:val="24"/>
        </w:rPr>
        <w:t xml:space="preserve">: Am Vorliegen sexueller Lust erkennt man, dass der betreffende </w:t>
      </w:r>
      <w:r w:rsidRPr="00071438">
        <w:rPr>
          <w:szCs w:val="24"/>
        </w:rPr>
        <w:t>Mensch</w:t>
      </w:r>
      <w:r>
        <w:rPr>
          <w:szCs w:val="24"/>
        </w:rPr>
        <w:t xml:space="preserve"> vom Bösen beherrscht ist</w:t>
      </w:r>
      <w:r w:rsidRPr="00071438">
        <w:rPr>
          <w:szCs w:val="24"/>
        </w:rPr>
        <w:t>.</w:t>
      </w:r>
    </w:p>
    <w:p w14:paraId="20642EB9" w14:textId="77777777" w:rsidR="00511260" w:rsidRPr="00071438" w:rsidRDefault="00511260" w:rsidP="00511260">
      <w:pPr>
        <w:pStyle w:val="margrechts"/>
        <w:framePr w:wrap="around"/>
      </w:pPr>
      <w:r w:rsidRPr="00071438">
        <w:lastRenderedPageBreak/>
        <w:t>Der späte Augustinus entwickelt mit manichäischen Argumenten einen gegen Pelagius gerichteten ethischen Pessimismus.</w:t>
      </w:r>
    </w:p>
    <w:p w14:paraId="3E613172" w14:textId="77777777" w:rsidR="00511260" w:rsidRPr="00071438" w:rsidRDefault="00511260" w:rsidP="00511260">
      <w:pPr>
        <w:pStyle w:val="margrechts"/>
        <w:framePr w:wrap="around"/>
      </w:pPr>
      <w:r w:rsidRPr="00071438">
        <w:t>Pelagius: Der Mensch kann ohne Gottes Hilfe das Gute tun.</w:t>
      </w:r>
    </w:p>
    <w:p w14:paraId="31B2ABC5" w14:textId="77777777" w:rsidR="00511260" w:rsidRPr="00071438" w:rsidRDefault="00511260" w:rsidP="00511260">
      <w:pPr>
        <w:pStyle w:val="margrechts"/>
        <w:framePr w:wrap="around"/>
      </w:pPr>
      <w:r w:rsidRPr="00071438">
        <w:t>Augustinus: Der Mensch ist wurzelhaft Sünder (‚Peccatum originale</w:t>
      </w:r>
      <w:r>
        <w:t xml:space="preserve"> </w:t>
      </w:r>
      <w:proofErr w:type="spellStart"/>
      <w:r>
        <w:t>originata</w:t>
      </w:r>
      <w:proofErr w:type="spellEnd"/>
      <w:r w:rsidRPr="00071438">
        <w:t>‘, ‚</w:t>
      </w:r>
      <w:r>
        <w:t>Erbsünde</w:t>
      </w:r>
      <w:r w:rsidRPr="00071438">
        <w:t xml:space="preserve">‘) und ist daher angewiesen auf Gottes Gnade. </w:t>
      </w:r>
    </w:p>
    <w:p w14:paraId="2E7477BD" w14:textId="77777777" w:rsidR="00511260" w:rsidRPr="00071438" w:rsidRDefault="00511260" w:rsidP="00511260">
      <w:pPr>
        <w:pStyle w:val="margrechts"/>
        <w:framePr w:wrap="around"/>
      </w:pPr>
    </w:p>
    <w:p w14:paraId="452258F7" w14:textId="77777777" w:rsidR="00511260" w:rsidRPr="00071438" w:rsidRDefault="00511260" w:rsidP="00511260">
      <w:pPr>
        <w:pStyle w:val="margrechts"/>
        <w:framePr w:wrap="around"/>
      </w:pPr>
      <w:r w:rsidRPr="00071438">
        <w:t xml:space="preserve">Die Ursünde Adams (‚Peccatum originale </w:t>
      </w:r>
      <w:proofErr w:type="spellStart"/>
      <w:r w:rsidRPr="00071438">
        <w:t>origians</w:t>
      </w:r>
      <w:proofErr w:type="spellEnd"/>
      <w:r w:rsidRPr="00071438">
        <w:t xml:space="preserve">‘) bewirkt die Erbsündigkeit des Menschen (‚Peccatum originale </w:t>
      </w:r>
      <w:proofErr w:type="spellStart"/>
      <w:r w:rsidRPr="00071438">
        <w:t>originata</w:t>
      </w:r>
      <w:proofErr w:type="spellEnd"/>
      <w:r w:rsidRPr="00071438">
        <w:t>‘). Dieser wird im Zeugungsakt und aufgrund sexuellen Begehrens weitergegeben (‚Konkupiszenz‘). Von ihr kann der Mensch nur durch die erlösende Gnade (also durch die Taufe) befreit werden.</w:t>
      </w:r>
    </w:p>
    <w:p w14:paraId="51BBC443" w14:textId="5CB83A0E" w:rsidR="00511260" w:rsidRPr="00071438" w:rsidRDefault="00511260" w:rsidP="00511260">
      <w:pPr>
        <w:pStyle w:val="Textkrper-Erstzeileneinzug"/>
        <w:spacing w:after="200" w:line="360" w:lineRule="auto"/>
        <w:ind w:right="2041" w:firstLine="454"/>
        <w:jc w:val="both"/>
        <w:rPr>
          <w:rFonts w:ascii="Times New Roman" w:hAnsi="Times New Roman"/>
          <w:sz w:val="24"/>
          <w:szCs w:val="24"/>
        </w:rPr>
      </w:pPr>
      <w:r w:rsidRPr="00071438">
        <w:rPr>
          <w:rFonts w:ascii="Times New Roman" w:hAnsi="Times New Roman"/>
          <w:sz w:val="24"/>
          <w:szCs w:val="24"/>
        </w:rPr>
        <w:t>Während Augustinus in der Frühphase seines Denkens und Wirkens zunächst gegen diesen manichäischen Dualismus angegangen war, übernahm er in seinem später</w:t>
      </w:r>
      <w:r>
        <w:rPr>
          <w:rFonts w:ascii="Times New Roman" w:hAnsi="Times New Roman"/>
          <w:sz w:val="24"/>
          <w:szCs w:val="24"/>
        </w:rPr>
        <w:t>en</w:t>
      </w:r>
      <w:r w:rsidRPr="00071438">
        <w:rPr>
          <w:rFonts w:ascii="Times New Roman" w:hAnsi="Times New Roman"/>
          <w:sz w:val="24"/>
          <w:szCs w:val="24"/>
        </w:rPr>
        <w:t xml:space="preserve"> </w:t>
      </w:r>
      <w:r>
        <w:rPr>
          <w:rFonts w:ascii="Times New Roman" w:hAnsi="Times New Roman"/>
          <w:sz w:val="24"/>
          <w:szCs w:val="24"/>
        </w:rPr>
        <w:t xml:space="preserve">kirchenpolitischen </w:t>
      </w:r>
      <w:r w:rsidRPr="00071438">
        <w:rPr>
          <w:rFonts w:ascii="Times New Roman" w:hAnsi="Times New Roman"/>
          <w:sz w:val="24"/>
          <w:szCs w:val="24"/>
        </w:rPr>
        <w:t xml:space="preserve">Kampf gegen Pelagius viele manichäistische </w:t>
      </w:r>
      <w:r>
        <w:rPr>
          <w:rFonts w:ascii="Times New Roman" w:hAnsi="Times New Roman"/>
          <w:sz w:val="24"/>
          <w:szCs w:val="24"/>
        </w:rPr>
        <w:t>Anschauungsm</w:t>
      </w:r>
      <w:r w:rsidRPr="00071438">
        <w:rPr>
          <w:rFonts w:ascii="Times New Roman" w:hAnsi="Times New Roman"/>
          <w:sz w:val="24"/>
          <w:szCs w:val="24"/>
        </w:rPr>
        <w:t xml:space="preserve">omente, vor allem den Begriff der ‚Konkupiszenz‘, und verband sie </w:t>
      </w:r>
      <w:r>
        <w:rPr>
          <w:rFonts w:ascii="Times New Roman" w:hAnsi="Times New Roman"/>
          <w:sz w:val="24"/>
          <w:szCs w:val="24"/>
        </w:rPr>
        <w:t>zu</w:t>
      </w:r>
      <w:r w:rsidRPr="00071438">
        <w:rPr>
          <w:rFonts w:ascii="Times New Roman" w:hAnsi="Times New Roman"/>
          <w:sz w:val="24"/>
          <w:szCs w:val="24"/>
        </w:rPr>
        <w:t xml:space="preserve"> </w:t>
      </w:r>
      <w:r>
        <w:rPr>
          <w:rFonts w:ascii="Times New Roman" w:hAnsi="Times New Roman"/>
          <w:sz w:val="24"/>
          <w:szCs w:val="24"/>
        </w:rPr>
        <w:t>einem Welt- und Lebensbild, das man als ‚</w:t>
      </w:r>
      <w:r w:rsidRPr="00071438">
        <w:rPr>
          <w:rFonts w:ascii="Times New Roman" w:hAnsi="Times New Roman"/>
          <w:sz w:val="24"/>
          <w:szCs w:val="24"/>
        </w:rPr>
        <w:t>ethischen Pessimismus</w:t>
      </w:r>
      <w:r>
        <w:rPr>
          <w:rFonts w:ascii="Times New Roman" w:hAnsi="Times New Roman"/>
          <w:sz w:val="24"/>
          <w:szCs w:val="24"/>
        </w:rPr>
        <w:t>‘ bezeichnen kann: Der Mensch ist nicht in der Lage, mit rein menschlichen Mitteln, also mit gutem Willen und erkennender Vernunft, das Gute zu tun und das Böse zu unterlassen.</w:t>
      </w:r>
      <w:r w:rsidRPr="00071438">
        <w:rPr>
          <w:rFonts w:ascii="Times New Roman" w:hAnsi="Times New Roman"/>
          <w:sz w:val="24"/>
          <w:szCs w:val="24"/>
        </w:rPr>
        <w:t xml:space="preserve"> Pelagius (gest. nach 418) </w:t>
      </w:r>
      <w:r>
        <w:rPr>
          <w:rFonts w:ascii="Times New Roman" w:hAnsi="Times New Roman"/>
          <w:sz w:val="24"/>
          <w:szCs w:val="24"/>
        </w:rPr>
        <w:t xml:space="preserve">hingegen </w:t>
      </w:r>
      <w:r w:rsidRPr="00071438">
        <w:rPr>
          <w:rFonts w:ascii="Times New Roman" w:hAnsi="Times New Roman"/>
          <w:sz w:val="24"/>
          <w:szCs w:val="24"/>
        </w:rPr>
        <w:t xml:space="preserve">war ein Laienmönch, der in der Tradition der griechisch-antiken Erkenntnismetaphysik und Ethik stand und daher der Überzeugung war, dass ein Mensch, wenn er denn nur das Gute wollen würde, grundsätzlich, allein und ohne (göttliche) Hilfe in der Lage wäre, das Gute auch zu ergreifen und zu tun. Diesem ethischen Optimismus </w:t>
      </w:r>
      <w:r>
        <w:rPr>
          <w:rFonts w:ascii="Times New Roman" w:hAnsi="Times New Roman"/>
          <w:sz w:val="24"/>
          <w:szCs w:val="24"/>
        </w:rPr>
        <w:t xml:space="preserve">entgegen ist der </w:t>
      </w:r>
      <w:r w:rsidRPr="00071438">
        <w:rPr>
          <w:rFonts w:ascii="Times New Roman" w:hAnsi="Times New Roman"/>
          <w:sz w:val="24"/>
          <w:szCs w:val="24"/>
        </w:rPr>
        <w:t xml:space="preserve">ethische Pessimismus </w:t>
      </w:r>
      <w:r>
        <w:rPr>
          <w:rFonts w:ascii="Times New Roman" w:hAnsi="Times New Roman"/>
          <w:sz w:val="24"/>
          <w:szCs w:val="24"/>
        </w:rPr>
        <w:t xml:space="preserve">Augustins </w:t>
      </w:r>
      <w:r w:rsidRPr="00071438">
        <w:rPr>
          <w:rFonts w:ascii="Times New Roman" w:hAnsi="Times New Roman"/>
          <w:sz w:val="24"/>
          <w:szCs w:val="24"/>
        </w:rPr>
        <w:t xml:space="preserve">vom Anliegen geleitet, </w:t>
      </w:r>
      <w:r>
        <w:rPr>
          <w:rFonts w:ascii="Times New Roman" w:hAnsi="Times New Roman"/>
          <w:sz w:val="24"/>
          <w:szCs w:val="24"/>
        </w:rPr>
        <w:t xml:space="preserve">die Unfähigkeit des Menschen herauszustellen, aus eigenen Mitteln das Gute zu tun und gegen das Böse anzukämpfen. Der Mensch nämlich sei, so Augustinus, in dieser entscheidenden Frage gänzlich abhängig </w:t>
      </w:r>
      <w:r w:rsidRPr="00071438">
        <w:rPr>
          <w:rFonts w:ascii="Times New Roman" w:hAnsi="Times New Roman"/>
          <w:sz w:val="24"/>
          <w:szCs w:val="24"/>
        </w:rPr>
        <w:t>von Gott, von göttlicher Freiheit und Gnade</w:t>
      </w:r>
      <w:r>
        <w:rPr>
          <w:rFonts w:ascii="Times New Roman" w:hAnsi="Times New Roman"/>
          <w:sz w:val="24"/>
          <w:szCs w:val="24"/>
        </w:rPr>
        <w:t>. Augustinus war in dieser Argumentation, in der der</w:t>
      </w:r>
      <w:r w:rsidRPr="00071438">
        <w:rPr>
          <w:rFonts w:ascii="Times New Roman" w:hAnsi="Times New Roman"/>
          <w:sz w:val="24"/>
          <w:szCs w:val="24"/>
        </w:rPr>
        <w:t xml:space="preserve"> christliche Glaube stark ab</w:t>
      </w:r>
      <w:r>
        <w:rPr>
          <w:rFonts w:ascii="Times New Roman" w:hAnsi="Times New Roman"/>
          <w:sz w:val="24"/>
          <w:szCs w:val="24"/>
        </w:rPr>
        <w:t>gegrenzt wird</w:t>
      </w:r>
      <w:r w:rsidRPr="00071438">
        <w:rPr>
          <w:rFonts w:ascii="Times New Roman" w:hAnsi="Times New Roman"/>
          <w:sz w:val="24"/>
          <w:szCs w:val="24"/>
        </w:rPr>
        <w:t xml:space="preserve"> von weltlicher Ethik</w:t>
      </w:r>
      <w:r>
        <w:rPr>
          <w:rFonts w:ascii="Times New Roman" w:hAnsi="Times New Roman"/>
          <w:sz w:val="24"/>
          <w:szCs w:val="24"/>
        </w:rPr>
        <w:t xml:space="preserve">, stark </w:t>
      </w:r>
      <w:r w:rsidRPr="00071438">
        <w:rPr>
          <w:rFonts w:ascii="Times New Roman" w:hAnsi="Times New Roman"/>
          <w:sz w:val="24"/>
          <w:szCs w:val="24"/>
        </w:rPr>
        <w:t xml:space="preserve">von eigener persönlicher Erfahrung geprägt: Ein Mensch vermag aus sich nichts Gutes zu erreichen, alles Gute, alle Umkehr auch vom Bösen zum Guten, ist Wirkung göttlicher Gnade. Zudem wollte Augustinus die seit der </w:t>
      </w:r>
      <w:r>
        <w:rPr>
          <w:rFonts w:ascii="Times New Roman" w:hAnsi="Times New Roman"/>
          <w:sz w:val="24"/>
          <w:szCs w:val="24"/>
        </w:rPr>
        <w:t>k</w:t>
      </w:r>
      <w:r w:rsidRPr="00071438">
        <w:rPr>
          <w:rFonts w:ascii="Times New Roman" w:hAnsi="Times New Roman"/>
          <w:sz w:val="24"/>
          <w:szCs w:val="24"/>
        </w:rPr>
        <w:t xml:space="preserve">onstantinischen Wende installierte Praxis der Kindertaufe als jenen kirchlichen Ritus sichern, der den Menschen unabhängig von dessen eigenem Tun und gegen dessen </w:t>
      </w:r>
      <w:r w:rsidR="00E738A6" w:rsidRPr="00071438">
        <w:rPr>
          <w:rFonts w:ascii="Times New Roman" w:hAnsi="Times New Roman"/>
          <w:sz w:val="24"/>
          <w:szCs w:val="24"/>
        </w:rPr>
        <w:t>erbsündliche</w:t>
      </w:r>
      <w:r w:rsidRPr="00071438">
        <w:rPr>
          <w:rFonts w:ascii="Times New Roman" w:hAnsi="Times New Roman"/>
          <w:sz w:val="24"/>
          <w:szCs w:val="24"/>
        </w:rPr>
        <w:t xml:space="preserve"> Verfallenheit zurücknimmt in die göttliche Schöpfungsordnung, in ein Leben mit Gott, ihn zugleich dabei aber auch einbindet in die Gemeinschaft der (Recht-)Gläubigen, in die Kirche.</w:t>
      </w:r>
      <w:r w:rsidRPr="00071438">
        <w:rPr>
          <w:rStyle w:val="Funotenzeichen"/>
          <w:rFonts w:ascii="Times New Roman" w:hAnsi="Times New Roman"/>
          <w:sz w:val="24"/>
          <w:szCs w:val="24"/>
        </w:rPr>
        <w:footnoteReference w:id="2"/>
      </w:r>
      <w:r w:rsidRPr="00071438">
        <w:rPr>
          <w:rFonts w:ascii="Times New Roman" w:hAnsi="Times New Roman"/>
          <w:sz w:val="24"/>
          <w:szCs w:val="24"/>
        </w:rPr>
        <w:t xml:space="preserve"> Eben dies geschehe durch die in der Taufe vermittelte Gnadenzuwendung Gottes. Für Augustinus war die menschliche Natur wurzelhaft negativ geprägt, also bereits im Vorfeld jedes eigenen, jedes individuellen Denkens, Handelns und Entscheidens ungeordnet, sündhaft: Der Mensch ist vorpersonal Sünder (‚Peccatum originale</w:t>
      </w:r>
      <w:r>
        <w:rPr>
          <w:rFonts w:ascii="Times New Roman" w:hAnsi="Times New Roman"/>
          <w:sz w:val="24"/>
          <w:szCs w:val="24"/>
        </w:rPr>
        <w:t xml:space="preserve"> </w:t>
      </w:r>
      <w:proofErr w:type="spellStart"/>
      <w:r>
        <w:rPr>
          <w:rFonts w:ascii="Times New Roman" w:hAnsi="Times New Roman"/>
          <w:sz w:val="24"/>
          <w:szCs w:val="24"/>
        </w:rPr>
        <w:t>originata</w:t>
      </w:r>
      <w:proofErr w:type="spellEnd"/>
      <w:r w:rsidRPr="00071438">
        <w:rPr>
          <w:rFonts w:ascii="Times New Roman" w:hAnsi="Times New Roman"/>
          <w:sz w:val="24"/>
          <w:szCs w:val="24"/>
        </w:rPr>
        <w:t xml:space="preserve">‘, </w:t>
      </w:r>
      <w:r w:rsidRPr="00071438">
        <w:rPr>
          <w:rFonts w:ascii="Times New Roman" w:hAnsi="Times New Roman"/>
          <w:sz w:val="24"/>
          <w:szCs w:val="24"/>
        </w:rPr>
        <w:lastRenderedPageBreak/>
        <w:t>‚Ursprunghafte Sünde‘, ‚</w:t>
      </w:r>
      <w:proofErr w:type="spellStart"/>
      <w:r>
        <w:rPr>
          <w:rFonts w:ascii="Times New Roman" w:hAnsi="Times New Roman"/>
          <w:sz w:val="24"/>
          <w:szCs w:val="24"/>
        </w:rPr>
        <w:t>Ersünde</w:t>
      </w:r>
      <w:proofErr w:type="spellEnd"/>
      <w:r w:rsidRPr="00071438">
        <w:rPr>
          <w:rFonts w:ascii="Times New Roman" w:hAnsi="Times New Roman"/>
          <w:sz w:val="24"/>
          <w:szCs w:val="24"/>
        </w:rPr>
        <w:t xml:space="preserve">‘). Dabei begreift Augustinus die Weitergabe des Bösen in der Geschlechterfolge als den Grund für diese Universalität der Sünde – eine Weitergabe, die für ihn </w:t>
      </w:r>
      <w:r w:rsidR="00E738A6">
        <w:rPr>
          <w:rFonts w:ascii="Times New Roman" w:hAnsi="Times New Roman"/>
          <w:sz w:val="24"/>
          <w:szCs w:val="24"/>
        </w:rPr>
        <w:t xml:space="preserve">also </w:t>
      </w:r>
      <w:r w:rsidRPr="00071438">
        <w:rPr>
          <w:rFonts w:ascii="Times New Roman" w:hAnsi="Times New Roman"/>
          <w:sz w:val="24"/>
          <w:szCs w:val="24"/>
        </w:rPr>
        <w:t xml:space="preserve">(ontologisch) gebunden ist an den Zeugungsakt, an menschliche Sexualität: ‚Konkupiszenz‘. Umgekehrt: Indem Augustinus von der völligen Verderbnis des menschlichen Willens zum Guten ausging, konnte er die Größe der Gnade Gottes umso klarer und herrlicher in den Vordergrund rücken: Die Ursünde Adams (‚Peccatum originale </w:t>
      </w:r>
      <w:proofErr w:type="spellStart"/>
      <w:r w:rsidRPr="00071438">
        <w:rPr>
          <w:rFonts w:ascii="Times New Roman" w:hAnsi="Times New Roman"/>
          <w:sz w:val="24"/>
          <w:szCs w:val="24"/>
        </w:rPr>
        <w:t>origians</w:t>
      </w:r>
      <w:proofErr w:type="spellEnd"/>
      <w:r w:rsidRPr="00071438">
        <w:rPr>
          <w:rFonts w:ascii="Times New Roman" w:hAnsi="Times New Roman"/>
          <w:sz w:val="24"/>
          <w:szCs w:val="24"/>
        </w:rPr>
        <w:t xml:space="preserve">‘) bewirkt die Erbsündigkeit des Menschen (‚Peccatum originale </w:t>
      </w:r>
      <w:proofErr w:type="spellStart"/>
      <w:r w:rsidRPr="00071438">
        <w:rPr>
          <w:rFonts w:ascii="Times New Roman" w:hAnsi="Times New Roman"/>
          <w:sz w:val="24"/>
          <w:szCs w:val="24"/>
        </w:rPr>
        <w:t>originata</w:t>
      </w:r>
      <w:proofErr w:type="spellEnd"/>
      <w:r w:rsidRPr="00071438">
        <w:rPr>
          <w:rFonts w:ascii="Times New Roman" w:hAnsi="Times New Roman"/>
          <w:sz w:val="24"/>
          <w:szCs w:val="24"/>
        </w:rPr>
        <w:t>‘), die sich als körperlich-sexuelles Begehren (‚Konkupiszenz‘) zeigt, welche der erlösenden Gnade bedürftig ist. Letztere wird dem Menschen in der Taufe vermittelt, durch die Kirche, kraft der Gnade.</w:t>
      </w:r>
    </w:p>
    <w:p w14:paraId="2B651196" w14:textId="77777777" w:rsidR="00511260" w:rsidRDefault="00511260" w:rsidP="00511260">
      <w:pPr>
        <w:pStyle w:val="Quelle"/>
      </w:pPr>
      <w:r>
        <w:t>Literatur:</w:t>
      </w:r>
    </w:p>
    <w:p w14:paraId="5F6079C3" w14:textId="77777777" w:rsidR="00511260" w:rsidRDefault="00511260" w:rsidP="00E738A6">
      <w:pPr>
        <w:pStyle w:val="Quellentext"/>
        <w:numPr>
          <w:ilvl w:val="0"/>
          <w:numId w:val="9"/>
        </w:numPr>
      </w:pPr>
      <w:r>
        <w:t xml:space="preserve">Schneider, Theodor (Hrsg.), Handbuch der Dogmatik, Bd. 1 (1992), Düsseldorf (Patmos) </w:t>
      </w:r>
      <w:r w:rsidRPr="006E50A6">
        <w:rPr>
          <w:vertAlign w:val="superscript"/>
        </w:rPr>
        <w:t>4</w:t>
      </w:r>
      <w:r>
        <w:t>2009.</w:t>
      </w:r>
    </w:p>
    <w:p w14:paraId="532A14B6" w14:textId="162C3CFF" w:rsidR="00B3685C" w:rsidRPr="00511260" w:rsidRDefault="00511260" w:rsidP="00E738A6">
      <w:pPr>
        <w:pStyle w:val="Quellentext"/>
        <w:numPr>
          <w:ilvl w:val="0"/>
          <w:numId w:val="9"/>
        </w:numPr>
      </w:pPr>
      <w:r>
        <w:t>Flasch, Kurt, Kampfplätze der Philosophie: Große Kontroversen von Augustin bis Voltaire, Frankfurt (Klostermann) 2008.</w:t>
      </w:r>
    </w:p>
    <w:sectPr w:rsidR="00B3685C" w:rsidRPr="00511260"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D30EB" w14:textId="77777777" w:rsidR="00315900" w:rsidRDefault="00315900" w:rsidP="009042F2">
      <w:pPr>
        <w:spacing w:after="0" w:line="240" w:lineRule="auto"/>
      </w:pPr>
      <w:r>
        <w:separator/>
      </w:r>
    </w:p>
  </w:endnote>
  <w:endnote w:type="continuationSeparator" w:id="0">
    <w:p w14:paraId="1067A11F" w14:textId="77777777" w:rsidR="00315900" w:rsidRDefault="00315900"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2E61B080"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FB2DAA">
              <w:rPr>
                <w:bCs/>
                <w:noProof/>
                <w:sz w:val="16"/>
                <w:szCs w:val="16"/>
              </w:rPr>
              <w:t>Augustinus und die kirchliche Erbsündenlehre - MB 401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E953A" w14:textId="77777777" w:rsidR="00315900" w:rsidRDefault="00315900" w:rsidP="009042F2">
      <w:pPr>
        <w:spacing w:after="0" w:line="240" w:lineRule="auto"/>
      </w:pPr>
      <w:r>
        <w:separator/>
      </w:r>
    </w:p>
  </w:footnote>
  <w:footnote w:type="continuationSeparator" w:id="0">
    <w:p w14:paraId="4DB378CD" w14:textId="77777777" w:rsidR="00315900" w:rsidRDefault="00315900" w:rsidP="009042F2">
      <w:pPr>
        <w:spacing w:after="0" w:line="240" w:lineRule="auto"/>
      </w:pPr>
      <w:r>
        <w:continuationSeparator/>
      </w:r>
    </w:p>
  </w:footnote>
  <w:footnote w:id="1">
    <w:p w14:paraId="1DB912A8" w14:textId="77777777" w:rsidR="00511260" w:rsidRDefault="00511260" w:rsidP="00511260">
      <w:pPr>
        <w:pStyle w:val="Funotentext"/>
      </w:pPr>
      <w:r>
        <w:rPr>
          <w:rStyle w:val="Funotenzeichen"/>
        </w:rPr>
        <w:footnoteRef/>
      </w:r>
      <w:r>
        <w:t xml:space="preserve"> Hierzu und zum Folgenden vgl. Theodor </w:t>
      </w:r>
      <w:r>
        <w:rPr>
          <w:szCs w:val="16"/>
        </w:rPr>
        <w:t xml:space="preserve">Schneider (Hrsg.), Handbuch der Dogmatik, Bd. 1 (1992), Düsseldorf (Patmos) </w:t>
      </w:r>
      <w:r>
        <w:rPr>
          <w:szCs w:val="16"/>
          <w:vertAlign w:val="superscript"/>
        </w:rPr>
        <w:t>4</w:t>
      </w:r>
      <w:r>
        <w:rPr>
          <w:szCs w:val="16"/>
        </w:rPr>
        <w:t>2009,</w:t>
      </w:r>
      <w:r>
        <w:t xml:space="preserve"> </w:t>
      </w:r>
      <w:r>
        <w:rPr>
          <w:szCs w:val="16"/>
        </w:rPr>
        <w:t>179-181.</w:t>
      </w:r>
    </w:p>
  </w:footnote>
  <w:footnote w:id="2">
    <w:p w14:paraId="600D85C7" w14:textId="77777777" w:rsidR="00511260" w:rsidRDefault="00511260" w:rsidP="00511260">
      <w:pPr>
        <w:pStyle w:val="Funotentext"/>
      </w:pPr>
      <w:r>
        <w:rPr>
          <w:rStyle w:val="Funotenzeichen"/>
        </w:rPr>
        <w:footnoteRef/>
      </w:r>
      <w:r>
        <w:t xml:space="preserve"> Vgl hierzu Kurt Flasch: Kampfplätze der Philosophie: Große Kontroversen von Augustin bis Voltaire, Frankfurt (Klostermann)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2973C6E"/>
    <w:multiLevelType w:val="hybridMultilevel"/>
    <w:tmpl w:val="213E94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2"/>
  </w:num>
  <w:num w:numId="6">
    <w:abstractNumId w:val="4"/>
  </w:num>
  <w:num w:numId="7">
    <w:abstractNumId w:val="5"/>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907EE"/>
    <w:rsid w:val="002C5206"/>
    <w:rsid w:val="00312588"/>
    <w:rsid w:val="00315900"/>
    <w:rsid w:val="00326301"/>
    <w:rsid w:val="00391964"/>
    <w:rsid w:val="003A2EFF"/>
    <w:rsid w:val="003A7C4C"/>
    <w:rsid w:val="003B74B8"/>
    <w:rsid w:val="00400920"/>
    <w:rsid w:val="004064A8"/>
    <w:rsid w:val="00412FAA"/>
    <w:rsid w:val="00441778"/>
    <w:rsid w:val="004544CF"/>
    <w:rsid w:val="004971B9"/>
    <w:rsid w:val="00511260"/>
    <w:rsid w:val="005118EC"/>
    <w:rsid w:val="00556DDB"/>
    <w:rsid w:val="005C31E5"/>
    <w:rsid w:val="005D369D"/>
    <w:rsid w:val="005D7F34"/>
    <w:rsid w:val="005F5FA3"/>
    <w:rsid w:val="006017A0"/>
    <w:rsid w:val="0063544C"/>
    <w:rsid w:val="00667FC6"/>
    <w:rsid w:val="006B741C"/>
    <w:rsid w:val="006D7E75"/>
    <w:rsid w:val="00773F59"/>
    <w:rsid w:val="007D0EAE"/>
    <w:rsid w:val="007E1C18"/>
    <w:rsid w:val="007E2A4A"/>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C10E8C"/>
    <w:rsid w:val="00C34D6B"/>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738A6"/>
    <w:rsid w:val="00E9077C"/>
    <w:rsid w:val="00E92B3E"/>
    <w:rsid w:val="00ED7783"/>
    <w:rsid w:val="00EF3FD3"/>
    <w:rsid w:val="00EF6686"/>
    <w:rsid w:val="00F02C6F"/>
    <w:rsid w:val="00F10C0B"/>
    <w:rsid w:val="00F22550"/>
    <w:rsid w:val="00F22D00"/>
    <w:rsid w:val="00F24080"/>
    <w:rsid w:val="00F92065"/>
    <w:rsid w:val="00FA5C78"/>
    <w:rsid w:val="00FB2DA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511260"/>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511260"/>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511260"/>
    <w:pPr>
      <w:spacing w:before="600" w:after="120"/>
      <w:contextualSpacing/>
    </w:pPr>
    <w:rPr>
      <w:rFonts w:eastAsia="Calibri" w:cs="Times New Roman"/>
      <w:b/>
      <w:sz w:val="18"/>
    </w:rPr>
  </w:style>
  <w:style w:type="character" w:customStyle="1" w:styleId="QuelleZchn">
    <w:name w:val="Quelle Zchn"/>
    <w:basedOn w:val="Absatz-Standardschriftart"/>
    <w:link w:val="Quelle"/>
    <w:rsid w:val="00511260"/>
    <w:rPr>
      <w:rFonts w:ascii="Times New Roman" w:eastAsia="Calibri" w:hAnsi="Times New Roman" w:cs="Times New Roman"/>
      <w:b/>
      <w:sz w:val="18"/>
    </w:rPr>
  </w:style>
  <w:style w:type="paragraph" w:customStyle="1" w:styleId="Quellentext">
    <w:name w:val="Quellentext"/>
    <w:basedOn w:val="Quelle"/>
    <w:link w:val="QuellentextZchn"/>
    <w:qFormat/>
    <w:rsid w:val="00511260"/>
    <w:pPr>
      <w:numPr>
        <w:numId w:val="8"/>
      </w:numPr>
      <w:spacing w:before="0"/>
      <w:ind w:left="357" w:hanging="357"/>
      <w:contextualSpacing w:val="0"/>
    </w:pPr>
    <w:rPr>
      <w:b w:val="0"/>
    </w:rPr>
  </w:style>
  <w:style w:type="character" w:customStyle="1" w:styleId="QuellentextZchn">
    <w:name w:val="Quellentext Zchn"/>
    <w:basedOn w:val="QuelleZchn"/>
    <w:link w:val="Quellentext"/>
    <w:rsid w:val="00511260"/>
    <w:rPr>
      <w:rFonts w:ascii="Times New Roman" w:eastAsia="Calibri" w:hAnsi="Times New Roman" w:cs="Times New Roman"/>
      <w:b w:val="0"/>
      <w:sz w:val="18"/>
    </w:rPr>
  </w:style>
  <w:style w:type="character" w:customStyle="1" w:styleId="margrechtsZchnZchn">
    <w:name w:val="marg rechts Zchn Zchn"/>
    <w:basedOn w:val="Absatz-Standardschriftart"/>
    <w:link w:val="margrechts"/>
    <w:rsid w:val="00511260"/>
    <w:rPr>
      <w:sz w:val="18"/>
      <w:szCs w:val="18"/>
      <w:lang w:eastAsia="de-DE"/>
    </w:rPr>
  </w:style>
  <w:style w:type="paragraph" w:customStyle="1" w:styleId="margrechts">
    <w:name w:val="marg rechts"/>
    <w:basedOn w:val="Standard"/>
    <w:link w:val="margrechtsZchnZchn"/>
    <w:autoRedefine/>
    <w:rsid w:val="00511260"/>
    <w:pPr>
      <w:framePr w:w="2552" w:hSpace="284" w:wrap="around" w:vAnchor="text" w:hAnchor="page" w:xAlign="right" w:y="1"/>
      <w:widowControl w:val="0"/>
      <w:spacing w:after="0" w:line="240" w:lineRule="auto"/>
      <w:ind w:right="454"/>
      <w:textboxTightWrap w:val="allLines"/>
    </w:pPr>
    <w:rPr>
      <w:rFonts w:asciiTheme="minorHAnsi" w:hAnsiTheme="minorHAnsi"/>
      <w:sz w:val="18"/>
      <w:szCs w:val="18"/>
      <w:lang w:eastAsia="de-DE"/>
    </w:rPr>
  </w:style>
  <w:style w:type="paragraph" w:styleId="Textkrper">
    <w:name w:val="Body Text"/>
    <w:basedOn w:val="Standard"/>
    <w:link w:val="TextkrperZchn"/>
    <w:uiPriority w:val="99"/>
    <w:semiHidden/>
    <w:unhideWhenUsed/>
    <w:rsid w:val="00511260"/>
    <w:pPr>
      <w:spacing w:after="120"/>
    </w:pPr>
  </w:style>
  <w:style w:type="character" w:customStyle="1" w:styleId="TextkrperZchn">
    <w:name w:val="Textkörper Zchn"/>
    <w:basedOn w:val="Absatz-Standardschriftart"/>
    <w:link w:val="Textkrper"/>
    <w:uiPriority w:val="99"/>
    <w:semiHidden/>
    <w:rsid w:val="00511260"/>
    <w:rPr>
      <w:rFonts w:ascii="Times New Roman" w:hAnsi="Times New Roman"/>
      <w:sz w:val="28"/>
    </w:rPr>
  </w:style>
  <w:style w:type="paragraph" w:styleId="Textkrper-Erstzeileneinzug">
    <w:name w:val="Body Text First Indent"/>
    <w:basedOn w:val="Textkrper"/>
    <w:link w:val="Textkrper-ErstzeileneinzugZchn"/>
    <w:uiPriority w:val="99"/>
    <w:unhideWhenUsed/>
    <w:rsid w:val="00511260"/>
    <w:pPr>
      <w:spacing w:line="276" w:lineRule="auto"/>
      <w:ind w:right="2098" w:firstLine="210"/>
    </w:pPr>
    <w:rPr>
      <w:rFonts w:ascii="Calibri" w:eastAsia="Calibri" w:hAnsi="Calibri" w:cs="Times New Roman"/>
      <w:sz w:val="22"/>
    </w:rPr>
  </w:style>
  <w:style w:type="character" w:customStyle="1" w:styleId="Textkrper-ErstzeileneinzugZchn">
    <w:name w:val="Textkörper-Erstzeileneinzug Zchn"/>
    <w:basedOn w:val="TextkrperZchn"/>
    <w:link w:val="Textkrper-Erstzeileneinzug"/>
    <w:uiPriority w:val="99"/>
    <w:rsid w:val="00511260"/>
    <w:rPr>
      <w:rFonts w:ascii="Calibri" w:eastAsia="Calibri" w:hAnsi="Calibri" w:cs="Times New Roman"/>
      <w:sz w:val="28"/>
    </w:rPr>
  </w:style>
  <w:style w:type="paragraph" w:styleId="Listenfortsetzung">
    <w:name w:val="List Continue"/>
    <w:basedOn w:val="Standard"/>
    <w:uiPriority w:val="99"/>
    <w:semiHidden/>
    <w:unhideWhenUsed/>
    <w:rsid w:val="00511260"/>
    <w:pPr>
      <w:spacing w:after="120"/>
      <w:ind w:left="283" w:right="2098"/>
      <w:contextualSpacing/>
      <w:jc w:val="both"/>
    </w:pPr>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759</Words>
  <Characters>4787</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2021-11-25T17:06:00Z</cp:lastPrinted>
  <dcterms:created xsi:type="dcterms:W3CDTF">2021-08-18T13:10:00Z</dcterms:created>
  <dcterms:modified xsi:type="dcterms:W3CDTF">2021-11-25T17:07:00Z</dcterms:modified>
</cp:coreProperties>
</file>