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5D9F33E" w:rsidR="00C64E57" w:rsidRDefault="00DA283C" w:rsidP="00C64E57">
      <w:pPr>
        <w:spacing w:after="0"/>
        <w:rPr>
          <w:sz w:val="20"/>
        </w:rPr>
      </w:pPr>
      <w:r>
        <w:rPr>
          <w:sz w:val="20"/>
        </w:rPr>
        <w:t xml:space="preserve">Materialblatt </w:t>
      </w:r>
      <w:r w:rsidR="009B59EE">
        <w:rPr>
          <w:sz w:val="20"/>
        </w:rPr>
        <w:t>451</w:t>
      </w:r>
    </w:p>
    <w:p w14:paraId="441B389F" w14:textId="0D0BEAA4" w:rsidR="00E33A8F" w:rsidRDefault="008D6374" w:rsidP="00E33A8F">
      <w:pPr>
        <w:spacing w:after="0" w:line="240" w:lineRule="auto"/>
        <w:rPr>
          <w:sz w:val="20"/>
        </w:rPr>
      </w:pPr>
      <w:r w:rsidRPr="008D6374">
        <w:rPr>
          <w:sz w:val="20"/>
        </w:rPr>
        <w:t>Stichworte:</w:t>
      </w:r>
    </w:p>
    <w:p w14:paraId="1D355365" w14:textId="314E3427" w:rsidR="00F6057D" w:rsidRDefault="00F6057D" w:rsidP="00F6057D">
      <w:pPr>
        <w:spacing w:after="0" w:line="240" w:lineRule="auto"/>
        <w:ind w:left="284"/>
        <w:rPr>
          <w:sz w:val="20"/>
        </w:rPr>
      </w:pPr>
      <w:r>
        <w:rPr>
          <w:sz w:val="20"/>
        </w:rPr>
        <w:t>Altes Testament</w:t>
      </w:r>
    </w:p>
    <w:p w14:paraId="203387B3" w14:textId="45D1F795" w:rsidR="00F6057D" w:rsidRDefault="00F6057D" w:rsidP="00F6057D">
      <w:pPr>
        <w:spacing w:after="0" w:line="240" w:lineRule="auto"/>
        <w:ind w:left="284"/>
        <w:rPr>
          <w:sz w:val="20"/>
        </w:rPr>
      </w:pPr>
      <w:r>
        <w:rPr>
          <w:sz w:val="20"/>
        </w:rPr>
        <w:t>Bibelkunde</w:t>
      </w:r>
    </w:p>
    <w:p w14:paraId="2313E154" w14:textId="76888851" w:rsidR="00F6057D" w:rsidRDefault="00F6057D" w:rsidP="00F6057D">
      <w:pPr>
        <w:spacing w:after="240" w:line="240" w:lineRule="auto"/>
        <w:ind w:left="284"/>
        <w:rPr>
          <w:sz w:val="20"/>
        </w:rPr>
      </w:pPr>
      <w:r>
        <w:rPr>
          <w:sz w:val="20"/>
        </w:rPr>
        <w:t>Neues Testament</w:t>
      </w:r>
    </w:p>
    <w:p w14:paraId="3BA0D3BC" w14:textId="6C0225FD" w:rsidR="00761FB3" w:rsidRPr="007D2A9C" w:rsidRDefault="00761FB3" w:rsidP="00761FB3">
      <w:pPr>
        <w:pStyle w:val="Untertitel"/>
        <w:rPr>
          <w:rFonts w:eastAsia="Calibri"/>
        </w:rPr>
      </w:pPr>
      <w:r>
        <w:rPr>
          <w:rFonts w:eastAsia="Calibri"/>
        </w:rPr>
        <w:t>Biblische Grundmotive</w:t>
      </w:r>
    </w:p>
    <w:p w14:paraId="23E7989C" w14:textId="77777777" w:rsidR="00761FB3" w:rsidRPr="000330B4" w:rsidRDefault="00761FB3" w:rsidP="00761FB3">
      <w:pPr>
        <w:rPr>
          <w:i/>
        </w:rPr>
      </w:pPr>
      <w:r w:rsidRPr="000330B4">
        <w:rPr>
          <w:i/>
        </w:rPr>
        <w:t xml:space="preserve">In den Texten der Bibel begegnet uns eine Vielzahl unterschiedlicher Lebenssituationen, Glaubensweisen und Textgattungen. Neben diesen Unterschieden stoßen wir jedoch auch auf fortlaufend wiederkehrende Gemeinsamkeiten zwischen verschiedenen Texten. Diese können wir als ‚Grundmotive’ kennzeichnen. Bei diesen handelt es sich nicht nur um gewisse Glaubensüberzeugungen, sondern vor allem auch um Handlungen, Wahrnehmungen und Riten, in denen sich das Leben der damaligen gläubigen Juden und Christen vollzog und die auch heute noch dazu einladen, ihnen aufmerksam zu begegnen als möglichen Orientierungspunkten und </w:t>
      </w:r>
      <w:proofErr w:type="spellStart"/>
      <w:r w:rsidRPr="000330B4">
        <w:rPr>
          <w:i/>
        </w:rPr>
        <w:t>Verstehenshilfen</w:t>
      </w:r>
      <w:proofErr w:type="spellEnd"/>
      <w:r w:rsidRPr="000330B4">
        <w:rPr>
          <w:i/>
        </w:rPr>
        <w:t xml:space="preserve"> in Betreff der Frage nach dem, was es heißt, als Christ zu leben.</w:t>
      </w:r>
    </w:p>
    <w:p w14:paraId="06D64CD3" w14:textId="77777777" w:rsidR="00761FB3" w:rsidRDefault="00761FB3" w:rsidP="00761FB3">
      <w:pPr>
        <w:pStyle w:val="berschrift1"/>
        <w:ind w:left="431" w:hanging="431"/>
      </w:pPr>
      <w:r>
        <w:rPr>
          <w:noProof/>
          <w:lang w:val="de-DE" w:eastAsia="de-DE"/>
        </w:rPr>
        <w:drawing>
          <wp:anchor distT="0" distB="0" distL="0" distR="0" simplePos="0" relativeHeight="251659264" behindDoc="0" locked="0" layoutInCell="1" allowOverlap="0" wp14:anchorId="09DAB7D2" wp14:editId="26CAA917">
            <wp:simplePos x="0" y="0"/>
            <wp:positionH relativeFrom="column">
              <wp:posOffset>3429000</wp:posOffset>
            </wp:positionH>
            <wp:positionV relativeFrom="line">
              <wp:posOffset>497840</wp:posOffset>
            </wp:positionV>
            <wp:extent cx="2590800" cy="3649345"/>
            <wp:effectExtent l="0" t="0" r="0" b="8255"/>
            <wp:wrapSquare wrapText="bothSides"/>
            <wp:docPr id="7" name="Bild 5" descr="ieger Köder, Schöpf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eger Köder, Schöpf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3649345"/>
                    </a:xfrm>
                    <a:prstGeom prst="rect">
                      <a:avLst/>
                    </a:prstGeom>
                    <a:noFill/>
                    <a:ln>
                      <a:noFill/>
                    </a:ln>
                  </pic:spPr>
                </pic:pic>
              </a:graphicData>
            </a:graphic>
            <wp14:sizeRelH relativeFrom="page">
              <wp14:pctWidth>0</wp14:pctWidth>
            </wp14:sizeRelH>
            <wp14:sizeRelV relativeFrom="page">
              <wp14:pctHeight>0</wp14:pctHeight>
            </wp14:sizeRelV>
          </wp:anchor>
        </w:drawing>
      </w:r>
      <w:r>
        <w:t>Schöpfung und Wunder</w:t>
      </w:r>
    </w:p>
    <w:p w14:paraId="664DFE50" w14:textId="77777777" w:rsidR="00761FB3" w:rsidRDefault="00761FB3" w:rsidP="00761FB3">
      <w:r>
        <w:t>Alles ist aus dem Nichts geschaffen, Gott also ist in seinem Schaffen absolut frei, er ist von nichts abhängig und durch nichts eingeschränkt. Gott hätte auch nichts erschaffen, er hätte an sich bleiben können, was er ist – Gott, und ein Gott ohne Schöpfung, ohne Welt. Die schaffende Machte Gottes manifestiert sich in den Schönheiten der Welt und in den lebensfreundlichen Ordnungen der Natur.</w:t>
      </w:r>
    </w:p>
    <w:p w14:paraId="59221DB9" w14:textId="77777777" w:rsidR="00761FB3" w:rsidRDefault="00761FB3" w:rsidP="00761FB3">
      <w:r>
        <w:t xml:space="preserve">Alles Geschehen in der Welt </w:t>
      </w:r>
      <w:proofErr w:type="gramStart"/>
      <w:r>
        <w:t>ist prinzipiell</w:t>
      </w:r>
      <w:proofErr w:type="gramEnd"/>
      <w:r>
        <w:t xml:space="preserve"> offen, es kann zu überraschenden Wendungen </w:t>
      </w:r>
      <w:r>
        <w:lastRenderedPageBreak/>
        <w:t>kommen, nichts ist absolut vorherbestimmt (‚determiniert’). Der Mensch ist als Geschöpf Gottes aufgerufen, Mitschöpfer der Welt zu sein.</w:t>
      </w:r>
    </w:p>
    <w:p w14:paraId="20181959" w14:textId="16D71133" w:rsidR="00761FB3" w:rsidRDefault="00761FB3" w:rsidP="00761FB3">
      <w:pPr>
        <w:pStyle w:val="berschrift1"/>
        <w:ind w:left="431" w:hanging="431"/>
      </w:pPr>
      <w:r>
        <w:t>Exodus</w:t>
      </w:r>
    </w:p>
    <w:p w14:paraId="57913AD4" w14:textId="0833950E" w:rsidR="00761FB3" w:rsidRDefault="00761FB3" w:rsidP="00761FB3">
      <w:r>
        <w:rPr>
          <w:noProof/>
          <w:lang w:val="de-DE" w:eastAsia="de-DE"/>
        </w:rPr>
        <w:drawing>
          <wp:anchor distT="0" distB="0" distL="114300" distR="114300" simplePos="0" relativeHeight="251664384" behindDoc="0" locked="0" layoutInCell="1" allowOverlap="1" wp14:anchorId="47C59ADE" wp14:editId="3DEA0145">
            <wp:simplePos x="0" y="0"/>
            <wp:positionH relativeFrom="margin">
              <wp:align>left</wp:align>
            </wp:positionH>
            <wp:positionV relativeFrom="paragraph">
              <wp:posOffset>6985</wp:posOffset>
            </wp:positionV>
            <wp:extent cx="2853055" cy="1967230"/>
            <wp:effectExtent l="0" t="0" r="4445" b="0"/>
            <wp:wrapSquare wrapText="bothSides"/>
            <wp:docPr id="9" name="Bild 1" descr="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1967230"/>
                    </a:xfrm>
                    <a:prstGeom prst="rect">
                      <a:avLst/>
                    </a:prstGeom>
                    <a:noFill/>
                    <a:ln>
                      <a:noFill/>
                    </a:ln>
                  </pic:spPr>
                </pic:pic>
              </a:graphicData>
            </a:graphic>
            <wp14:sizeRelH relativeFrom="page">
              <wp14:pctWidth>0</wp14:pctWidth>
            </wp14:sizeRelH>
            <wp14:sizeRelV relativeFrom="page">
              <wp14:pctHeight>0</wp14:pctHeight>
            </wp14:sizeRelV>
          </wp:anchor>
        </w:drawing>
      </w:r>
      <w:r>
        <w:t>Einzelne Menschen und Gruppen von Menschen werden von Gott gerufen, aus ihren bisherigen Lebenszusammenhängen herauszugehen und ihr Leben (radikal) neu zu orientieren: Abraham, der mit seiner Sippe aufbricht aus</w:t>
      </w:r>
      <w:r w:rsidRPr="0048192D">
        <w:t xml:space="preserve"> </w:t>
      </w:r>
      <w:proofErr w:type="spellStart"/>
      <w:r w:rsidRPr="0048192D">
        <w:t>Haran</w:t>
      </w:r>
      <w:proofErr w:type="spellEnd"/>
      <w:r w:rsidRPr="0048192D">
        <w:t xml:space="preserve"> (in der heutigen Türkei</w:t>
      </w:r>
      <w:r>
        <w:t>)</w:t>
      </w:r>
      <w:r w:rsidRPr="0048192D">
        <w:t xml:space="preserve"> </w:t>
      </w:r>
      <w:r>
        <w:t>in ein unbekanntes Land (Kanaan) und in einer Hungersnot nach Ägypten fliehen muss; die Gruppe der Israeliten unter Moses, die aus Ägypten auswandern in eine neues, in ein ihnen noch unbekanntes Land; die Fischer am See Genezareth (Simon, Andreas), die dem Ruf Jesu folgen und sich ihm als Wanderprediger anschließen; die neutestamentliche Jesus-Gemeinde, die aufbricht in das neue Leben einer Beglaubigung und Nachfolge Jesu.</w:t>
      </w:r>
    </w:p>
    <w:p w14:paraId="562EB98D" w14:textId="38044782" w:rsidR="00761FB3" w:rsidRDefault="00761FB3" w:rsidP="00761FB3">
      <w:pPr>
        <w:pStyle w:val="berschrift1"/>
        <w:ind w:left="431" w:hanging="431"/>
      </w:pPr>
      <w:r>
        <w:t>Präsenz und Inkarnation</w:t>
      </w:r>
    </w:p>
    <w:p w14:paraId="59914291" w14:textId="69D33555" w:rsidR="00761FB3" w:rsidRDefault="00761FB3" w:rsidP="00761FB3">
      <w:r>
        <w:rPr>
          <w:noProof/>
          <w:lang w:val="de-DE" w:eastAsia="de-DE"/>
        </w:rPr>
        <w:drawing>
          <wp:anchor distT="0" distB="0" distL="114300" distR="114300" simplePos="0" relativeHeight="251665408" behindDoc="0" locked="0" layoutInCell="1" allowOverlap="1" wp14:anchorId="743553B6" wp14:editId="66B1EB32">
            <wp:simplePos x="0" y="0"/>
            <wp:positionH relativeFrom="margin">
              <wp:align>left</wp:align>
            </wp:positionH>
            <wp:positionV relativeFrom="paragraph">
              <wp:posOffset>12065</wp:posOffset>
            </wp:positionV>
            <wp:extent cx="2853055" cy="2367915"/>
            <wp:effectExtent l="0" t="0" r="4445" b="0"/>
            <wp:wrapSquare wrapText="bothSides"/>
            <wp:docPr id="11" name="irc_mi" descr="http://www.dreikoenigsgemeinde.de/images/glaube/kirchenjahr_weihnacht25_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reikoenigsgemeinde.de/images/glaube/kirchenjahr_weihnacht25_06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055" cy="2367915"/>
                    </a:xfrm>
                    <a:prstGeom prst="rect">
                      <a:avLst/>
                    </a:prstGeom>
                    <a:noFill/>
                    <a:ln>
                      <a:noFill/>
                    </a:ln>
                  </pic:spPr>
                </pic:pic>
              </a:graphicData>
            </a:graphic>
            <wp14:sizeRelH relativeFrom="page">
              <wp14:pctWidth>0</wp14:pctWidth>
            </wp14:sizeRelH>
            <wp14:sizeRelV relativeFrom="page">
              <wp14:pctHeight>0</wp14:pctHeight>
            </wp14:sizeRelV>
          </wp:anchor>
        </w:drawing>
      </w:r>
      <w:r>
        <w:t>Gott ist in der Welt und er ist im Menschen gegenwärtig. Der Mensch kann sich dieser Gegenwart öffnen, indem er ausbricht aus dem Trott des Alltags, indem er innehält und aufmerksam ist für sich selbst, für die Menschen um ihn herum, für seine Um- und Mitwelt. Hier entdeckt er, dass Gott durch seine Gegenwart alles heiligt. In dieser Wiese ist die Gegenwärtigung (die Nähe) Got</w:t>
      </w:r>
      <w:r>
        <w:lastRenderedPageBreak/>
        <w:t xml:space="preserve">tes in Jesus (‚Inkarnation’, ‚Fleischwerdung’) in besonderer Weise Verwirklichung der allen Menschen möglichen und erlebbaren Gegenwärtigung (Nähe) Gottes. Diese Gegenwart Gottes (in Jesus Christus, im Menschen) ist unwiderruflich, gilt ein für </w:t>
      </w:r>
      <w:proofErr w:type="spellStart"/>
      <w:r>
        <w:t>allemal</w:t>
      </w:r>
      <w:proofErr w:type="spellEnd"/>
      <w:r>
        <w:t>.</w:t>
      </w:r>
    </w:p>
    <w:p w14:paraId="34B3A78B" w14:textId="77777777" w:rsidR="00761FB3" w:rsidRDefault="00761FB3" w:rsidP="00761FB3">
      <w:pPr>
        <w:pStyle w:val="berschrift1"/>
        <w:ind w:left="431" w:hanging="431"/>
      </w:pPr>
      <w:r>
        <w:t>Umkehr</w:t>
      </w:r>
    </w:p>
    <w:p w14:paraId="6B2F446E" w14:textId="33146FBE" w:rsidR="00761FB3" w:rsidRDefault="00761FB3" w:rsidP="00761FB3">
      <w:r>
        <w:rPr>
          <w:noProof/>
          <w:lang w:val="de-DE" w:eastAsia="de-DE"/>
        </w:rPr>
        <w:drawing>
          <wp:anchor distT="0" distB="0" distL="114300" distR="114300" simplePos="0" relativeHeight="251666432" behindDoc="0" locked="0" layoutInCell="1" allowOverlap="1" wp14:anchorId="7B0A79A2" wp14:editId="73D56781">
            <wp:simplePos x="0" y="0"/>
            <wp:positionH relativeFrom="column">
              <wp:posOffset>-62865</wp:posOffset>
            </wp:positionH>
            <wp:positionV relativeFrom="paragraph">
              <wp:posOffset>90170</wp:posOffset>
            </wp:positionV>
            <wp:extent cx="3215005" cy="1809750"/>
            <wp:effectExtent l="0" t="0" r="4445" b="0"/>
            <wp:wrapSquare wrapText="bothSides"/>
            <wp:docPr id="13" name="irc_mi" descr="http://static.evangelisch.de/get/?daid=f2e6c19d81ab7f1b21d3ac2500005751&amp;dfid=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evangelisch.de/get/?daid=f2e6c19d81ab7f1b21d3ac2500005751&amp;dfid=i-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500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der Begegnung mit Gott erlebt der Menschen, dass eine Veränderung des gesellschaftlichen und seines persönlichen Lebens möglich ist. In diesem Sinne mahnen besonders die alttestamentlichen Propheten: Menschen können ein neues Leben beginnen, wenn sie sich Gott öffnen. Und so auch Jesus im Neuen Testament: Dem Menschen ist es möglich, </w:t>
      </w:r>
      <w:proofErr w:type="gramStart"/>
      <w:r>
        <w:t>seine alte Wege</w:t>
      </w:r>
      <w:proofErr w:type="gramEnd"/>
      <w:r>
        <w:t>, sein bisheriges Leben, auch seine eigene Schuld hinter sich zu lassen und sich im Vertrauen auf Gott immer wieder auf neue Wege, auf ein neues Morgen einzulassen.</w:t>
      </w:r>
    </w:p>
    <w:p w14:paraId="7D9EA193" w14:textId="5BB13155" w:rsidR="00761FB3" w:rsidRDefault="00761FB3" w:rsidP="00761FB3">
      <w:pPr>
        <w:pStyle w:val="berschrift1"/>
        <w:ind w:left="431" w:hanging="431"/>
      </w:pPr>
      <w:r>
        <w:lastRenderedPageBreak/>
        <w:t>Agape</w:t>
      </w:r>
    </w:p>
    <w:p w14:paraId="081A3702" w14:textId="61707503" w:rsidR="00761FB3" w:rsidRDefault="00761FB3" w:rsidP="00761FB3">
      <w:r>
        <w:rPr>
          <w:noProof/>
          <w:lang w:val="de-DE" w:eastAsia="de-DE"/>
        </w:rPr>
        <w:drawing>
          <wp:anchor distT="0" distB="0" distL="114300" distR="114300" simplePos="0" relativeHeight="251660288" behindDoc="0" locked="0" layoutInCell="1" allowOverlap="1" wp14:anchorId="1BA3AE6D" wp14:editId="531F96CF">
            <wp:simplePos x="0" y="0"/>
            <wp:positionH relativeFrom="margin">
              <wp:align>left</wp:align>
            </wp:positionH>
            <wp:positionV relativeFrom="paragraph">
              <wp:posOffset>5080</wp:posOffset>
            </wp:positionV>
            <wp:extent cx="2561590" cy="3619500"/>
            <wp:effectExtent l="0" t="0" r="0" b="0"/>
            <wp:wrapSquare wrapText="bothSides"/>
            <wp:docPr id="15" name="Bild 7" descr="https://encrypted-tbn3.gstatic.com/images?q=tbn:ANd9GcSPCY9Vq6sHbJNeJukPEWsQ36pRTKwr_izitM4o8JlZ9pMepoKS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SPCY9Vq6sHbJNeJukPEWsQ36pRTKwr_izitM4o8JlZ9pMepoKSF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2310" cy="3647986"/>
                    </a:xfrm>
                    <a:prstGeom prst="rect">
                      <a:avLst/>
                    </a:prstGeom>
                    <a:noFill/>
                    <a:ln>
                      <a:noFill/>
                    </a:ln>
                  </pic:spPr>
                </pic:pic>
              </a:graphicData>
            </a:graphic>
            <wp14:sizeRelH relativeFrom="page">
              <wp14:pctWidth>0</wp14:pctWidth>
            </wp14:sizeRelH>
            <wp14:sizeRelV relativeFrom="page">
              <wp14:pctHeight>0</wp14:pctHeight>
            </wp14:sizeRelV>
          </wp:anchor>
        </w:drawing>
      </w:r>
      <w:r>
        <w:t>In der Haltung ‚göttlicher Liebe’ (griech.: ‚Agape’) wird dem Menschen jeder Mitmensch zum Nächsten, zum Vertrauten, zum Freund. Diesem nächsten Menschen – dem Fremden, der uns nahe wird; dem Fend, den wir lieben – gilt die Aufmerksamkeit und das tägliche Handeln eines Menschen in der Nachfolge Jesu, eines Christen. Jesus selbst ist das Urgeschehen einer solchen Haltung göttlicher Liebe: Auch nach seiner Verurteilung, auch am Kreuz lässt er nicht ab von seiner Zuwendung zum Menschen, zum Nächsten.</w:t>
      </w:r>
    </w:p>
    <w:p w14:paraId="70BCEDCA" w14:textId="77777777" w:rsidR="00761FB3" w:rsidRDefault="00761FB3" w:rsidP="00761FB3">
      <w:pPr>
        <w:pStyle w:val="berschrift1"/>
        <w:ind w:left="431" w:hanging="431"/>
      </w:pPr>
      <w:r>
        <w:t>Glaube</w:t>
      </w:r>
    </w:p>
    <w:p w14:paraId="1AFB42B7" w14:textId="77777777" w:rsidR="00761FB3" w:rsidRDefault="00761FB3" w:rsidP="00761FB3">
      <w:r>
        <w:rPr>
          <w:noProof/>
          <w:lang w:val="de-DE" w:eastAsia="de-DE"/>
        </w:rPr>
        <w:drawing>
          <wp:anchor distT="0" distB="0" distL="114300" distR="114300" simplePos="0" relativeHeight="251663360" behindDoc="0" locked="0" layoutInCell="1" allowOverlap="1" wp14:anchorId="24A302C5" wp14:editId="1CAE03AE">
            <wp:simplePos x="0" y="0"/>
            <wp:positionH relativeFrom="column">
              <wp:posOffset>2540</wp:posOffset>
            </wp:positionH>
            <wp:positionV relativeFrom="paragraph">
              <wp:posOffset>2540</wp:posOffset>
            </wp:positionV>
            <wp:extent cx="2853055" cy="1910715"/>
            <wp:effectExtent l="0" t="0" r="0" b="0"/>
            <wp:wrapSquare wrapText="bothSides"/>
            <wp:docPr id="19" name="Bild 9" descr="in Mensch überwindet eine Klu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 Mensch überwindet eine Kluf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055" cy="1910715"/>
                    </a:xfrm>
                    <a:prstGeom prst="rect">
                      <a:avLst/>
                    </a:prstGeom>
                    <a:noFill/>
                    <a:ln>
                      <a:noFill/>
                    </a:ln>
                  </pic:spPr>
                </pic:pic>
              </a:graphicData>
            </a:graphic>
            <wp14:sizeRelH relativeFrom="page">
              <wp14:pctWidth>0</wp14:pctWidth>
            </wp14:sizeRelH>
            <wp14:sizeRelV relativeFrom="page">
              <wp14:pctHeight>0</wp14:pctHeight>
            </wp14:sizeRelV>
          </wp:anchor>
        </w:drawing>
      </w:r>
      <w:r>
        <w:t>Jesus ist die menschliche Gestalt Gottes. Zu glauben – an Gott zu glauben – meint also, sich in eine Beziehung mit Jesus einlassen zu können, mit ihm in einen Dialog zu treten, ihm zu vertrauen. Die Menschen können dieses tun, indem sie sich hineinbegeben in das Lebenswissen, in die Lebenshaltung und in die Lebendigkeit Jesu so, wie sie uns in Schriften des Neuen Testaments überliefert sind.</w:t>
      </w:r>
    </w:p>
    <w:p w14:paraId="343B2259" w14:textId="77777777" w:rsidR="00761FB3" w:rsidRDefault="00761FB3" w:rsidP="00761FB3">
      <w:pPr>
        <w:pStyle w:val="berschrift1"/>
        <w:ind w:left="431" w:hanging="431"/>
      </w:pPr>
      <w:r>
        <w:lastRenderedPageBreak/>
        <w:t>Gericht</w:t>
      </w:r>
    </w:p>
    <w:p w14:paraId="5BA18F31" w14:textId="796DBA18" w:rsidR="00761FB3" w:rsidRDefault="00761FB3" w:rsidP="00761FB3">
      <w:r>
        <w:rPr>
          <w:noProof/>
          <w:lang w:val="de-DE" w:eastAsia="de-DE"/>
        </w:rPr>
        <w:drawing>
          <wp:anchor distT="0" distB="0" distL="114300" distR="114300" simplePos="0" relativeHeight="251667456" behindDoc="0" locked="0" layoutInCell="1" allowOverlap="1" wp14:anchorId="5ACFE1F5" wp14:editId="39CA4A54">
            <wp:simplePos x="0" y="0"/>
            <wp:positionH relativeFrom="margin">
              <wp:align>left</wp:align>
            </wp:positionH>
            <wp:positionV relativeFrom="paragraph">
              <wp:posOffset>6985</wp:posOffset>
            </wp:positionV>
            <wp:extent cx="2853055" cy="2399358"/>
            <wp:effectExtent l="0" t="0" r="4445" b="1270"/>
            <wp:wrapSquare wrapText="bothSides"/>
            <wp:docPr id="20" name="Bild 11" descr="https://encrypted-tbn2.gstatic.com/images?q=tbn:ANd9GcTH6hJ6UeqlIa8YIctVaSr3WxKYHpxcQ8S6u9h-QBHbeWXCoM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2.gstatic.com/images?q=tbn:ANd9GcTH6hJ6UeqlIa8YIctVaSr3WxKYHpxcQ8S6u9h-QBHbeWXCoM2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3055" cy="239935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Als Mensch zu </w:t>
      </w:r>
      <w:proofErr w:type="gramStart"/>
      <w:r>
        <w:t>handeln</w:t>
      </w:r>
      <w:proofErr w:type="gramEnd"/>
      <w:r>
        <w:t xml:space="preserve"> setzt voraus, unterschieden zu haben zwischen dem, was anstrebenswert ist und was nicht, also zwischen </w:t>
      </w:r>
      <w:proofErr w:type="spellStart"/>
      <w:r>
        <w:t>gut</w:t>
      </w:r>
      <w:proofErr w:type="spellEnd"/>
      <w:r>
        <w:t xml:space="preserve"> und </w:t>
      </w:r>
      <w:proofErr w:type="spellStart"/>
      <w:r>
        <w:t>böse</w:t>
      </w:r>
      <w:proofErr w:type="spellEnd"/>
      <w:r>
        <w:t xml:space="preserve"> unterschieden zu haben. </w:t>
      </w:r>
    </w:p>
    <w:p w14:paraId="59EE3C18" w14:textId="7FC9C1DF" w:rsidR="00761FB3" w:rsidRDefault="00761FB3" w:rsidP="00761FB3">
      <w:r>
        <w:t>Allein der Mensch weiß davon, dass er nicht nur durch physische Bedrängnis und Gewalt, sondern auch dadurch bedroht ist, dass er als Handelnder dem Bösen statt dem Guten folgt. Der Mensch wirkt in seine Welt kraft seiner Handlungen – und er ist verantwortlich für seine Handlungen, für die gute oder böse Wirklichkeit, die aus ihnen hervorgeht. An dem, was er gehandelt und verwirklicht hat, bemisst und beurteilt sich der Mensch selbst. Er wird so zum Richter über seine eigenen Handlungen, zum Richter über sich selbst. Jesus Christus – Gott also, insofern er Mensch geworden ist – ist der höchste, der entscheidende Maßstab dieses Gerichts des Menschen über sich selbst. Und Jesus Christus – Gott also, insofern er Mensch geworden ist – ist als göttliche Liebe auch Grund und Urbild menschlichen Vertrauens in die Vergebung, des Vertrauens in die Möglichkeit, ein neues Leben beginnen zu können.</w:t>
      </w:r>
    </w:p>
    <w:p w14:paraId="23844C0C" w14:textId="7622CB89" w:rsidR="00761FB3" w:rsidRDefault="00761FB3" w:rsidP="00761FB3">
      <w:pPr>
        <w:pStyle w:val="berschrift1"/>
        <w:ind w:left="431" w:hanging="431"/>
      </w:pPr>
      <w:r>
        <w:lastRenderedPageBreak/>
        <w:t>Distanz</w:t>
      </w:r>
    </w:p>
    <w:p w14:paraId="25662E58" w14:textId="03583422" w:rsidR="00761FB3" w:rsidRDefault="00761FB3" w:rsidP="00761FB3">
      <w:r>
        <w:rPr>
          <w:noProof/>
          <w:lang w:val="de-DE" w:eastAsia="de-DE"/>
        </w:rPr>
        <w:drawing>
          <wp:anchor distT="0" distB="0" distL="114300" distR="114300" simplePos="0" relativeHeight="251662336" behindDoc="0" locked="0" layoutInCell="1" allowOverlap="1" wp14:anchorId="7DB21FD3" wp14:editId="1ED1D08B">
            <wp:simplePos x="0" y="0"/>
            <wp:positionH relativeFrom="column">
              <wp:posOffset>2540</wp:posOffset>
            </wp:positionH>
            <wp:positionV relativeFrom="paragraph">
              <wp:posOffset>2540</wp:posOffset>
            </wp:positionV>
            <wp:extent cx="2853055" cy="2141855"/>
            <wp:effectExtent l="0" t="0" r="0" b="0"/>
            <wp:wrapSquare wrapText="bothSides"/>
            <wp:docPr id="21" name="Bild 13" descr="https://encrypted-tbn2.gstatic.com/images?q=tbn:ANd9GcT6ad2DxlYRs0Jd8Ir0HRqq7XCsg3mgjmxlRUs1ZFpV5NZ7FU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T6ad2DxlYRs0Jd8Ir0HRqq7XCsg3mgjmxlRUs1ZFpV5NZ7FUX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3055" cy="2141855"/>
                    </a:xfrm>
                    <a:prstGeom prst="rect">
                      <a:avLst/>
                    </a:prstGeom>
                    <a:noFill/>
                    <a:ln>
                      <a:noFill/>
                    </a:ln>
                  </pic:spPr>
                </pic:pic>
              </a:graphicData>
            </a:graphic>
            <wp14:sizeRelH relativeFrom="page">
              <wp14:pctWidth>0</wp14:pctWidth>
            </wp14:sizeRelH>
            <wp14:sizeRelV relativeFrom="page">
              <wp14:pctHeight>0</wp14:pctHeight>
            </wp14:sizeRelV>
          </wp:anchor>
        </w:drawing>
      </w:r>
      <w:r>
        <w:t>Uns Menschen schmerzt es jedes Mal, wenn wir bemerken, Möglichkeiten erfüllten und intensiven Lebens nicht genutzt zu haben oder nicht nutzen zu können. So sehr uns auch an einem authentischen, ehrlichen und leidenschaftlichen Leben gelegen sein mag – wir erfahren Grenzen, unser Leben ist nicht zu jeder Zeit und in jeder Hinsicht ein erfülltes Leben. Im Empfinden dieser Distanz, die wir Menschen im Verhältnis zu uns selbst, im Verhältnis zu unseren Liebsten und in unserem Verhältnis zu unserem Leben als Ganzem wahrnehmen, empfinden Christen zugleich ihre Distanz zu Gott, ihre Getrenntsein von Gott. Hier erkennen sie, dass Jesus Christus die Vollgestalt eines Lebens in und aus unmittelbarer Nähe Gottes ist. An dieser Distanzlosigkeit Jesu zu Gott können sie teilhaben in dem, was sie ‚Glauben’ nennen.</w:t>
      </w:r>
    </w:p>
    <w:p w14:paraId="5C0CB278" w14:textId="0F651DF2" w:rsidR="00761FB3" w:rsidRDefault="00761FB3" w:rsidP="00761FB3">
      <w:pPr>
        <w:pStyle w:val="berschrift1"/>
      </w:pPr>
      <w:r>
        <w:t>Stellvertretung / Opfer</w:t>
      </w:r>
    </w:p>
    <w:p w14:paraId="6E2790E3" w14:textId="353A7899" w:rsidR="00761FB3" w:rsidRDefault="00761FB3" w:rsidP="00761FB3">
      <w:r>
        <w:rPr>
          <w:noProof/>
          <w:lang w:val="de-DE" w:eastAsia="de-DE"/>
        </w:rPr>
        <w:drawing>
          <wp:anchor distT="0" distB="0" distL="114300" distR="114300" simplePos="0" relativeHeight="251669504" behindDoc="0" locked="0" layoutInCell="1" allowOverlap="1" wp14:anchorId="3CB4A981" wp14:editId="3C7E5E4F">
            <wp:simplePos x="0" y="0"/>
            <wp:positionH relativeFrom="column">
              <wp:posOffset>23495</wp:posOffset>
            </wp:positionH>
            <wp:positionV relativeFrom="paragraph">
              <wp:posOffset>-224790</wp:posOffset>
            </wp:positionV>
            <wp:extent cx="1457325" cy="2058670"/>
            <wp:effectExtent l="0" t="0" r="9525" b="0"/>
            <wp:wrapSquare wrapText="bothSides"/>
            <wp:docPr id="22" name="irc_mi" descr="http://www.ikonenmagazin.de/rezension/Op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konenmagazin.de/rezension/Opf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20586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Leben ist immer auch stellvertretendes Leben – entweder ein Leben, das stellvertretend leidet, da andere Menschen (wissentlich oder aus Unachtsamkeit) auf seine Kosten leben; oder ein Leben, dass stellvertretend handelt für all jene, die zu schwach sind oder die Opfer sind anderer Menschen und Institutionen, die sie leiden lassen. </w:t>
      </w:r>
    </w:p>
    <w:p w14:paraId="18D3EEA1" w14:textId="77777777" w:rsidR="00761FB3" w:rsidRDefault="00761FB3" w:rsidP="00761FB3">
      <w:pPr>
        <w:pStyle w:val="Quelle"/>
      </w:pPr>
      <w:r>
        <w:t>Literatur:</w:t>
      </w:r>
    </w:p>
    <w:p w14:paraId="15764FF6" w14:textId="53735BE6" w:rsidR="00761FB3" w:rsidRDefault="00761FB3" w:rsidP="00761FB3">
      <w:pPr>
        <w:pStyle w:val="Quellentext"/>
      </w:pPr>
      <w:r>
        <w:t>Biblische Grundmotive, in: Rupp, Hartmut; Reinert, Andreas (Hrsg.): Kursbuch Religion Oberstufe, Stuttgart 2009, S. 202f.</w:t>
      </w:r>
    </w:p>
    <w:p w14:paraId="76E6500E" w14:textId="77777777" w:rsidR="00761FB3" w:rsidRPr="009C3713" w:rsidRDefault="00761FB3" w:rsidP="00761FB3">
      <w:pPr>
        <w:pStyle w:val="Aufgaben"/>
      </w:pPr>
      <w:r w:rsidRPr="009C3713">
        <w:t>Aufgaben:</w:t>
      </w:r>
    </w:p>
    <w:p w14:paraId="7C9A120F" w14:textId="116F60A9" w:rsidR="00761FB3" w:rsidRDefault="00761FB3" w:rsidP="00761FB3">
      <w:pPr>
        <w:pStyle w:val="Aufgabennummeriert"/>
      </w:pPr>
      <w:r>
        <w:lastRenderedPageBreak/>
        <w:t>L</w:t>
      </w:r>
      <w:r w:rsidR="00F6057D">
        <w:t>ies</w:t>
      </w:r>
      <w:r>
        <w:t xml:space="preserve"> folgende biblische Texte: Ps 19 und </w:t>
      </w:r>
      <w:proofErr w:type="spellStart"/>
      <w:r>
        <w:t>Lk</w:t>
      </w:r>
      <w:proofErr w:type="spellEnd"/>
      <w:r>
        <w:t xml:space="preserve"> 19,1-10. Markiere in ihnen die im o. a. Text besprochenen biblischen Grundmotive. </w:t>
      </w:r>
      <w:r w:rsidRPr="004C53A7">
        <w:rPr>
          <w:sz w:val="20"/>
          <w:szCs w:val="18"/>
        </w:rPr>
        <w:t>[Reproduktion]</w:t>
      </w:r>
    </w:p>
    <w:p w14:paraId="3DB3B5B9" w14:textId="77777777" w:rsidR="00761FB3" w:rsidRDefault="00761FB3" w:rsidP="00761FB3">
      <w:pPr>
        <w:pStyle w:val="Aufgabennummeriert"/>
      </w:pPr>
      <w:r>
        <w:t xml:space="preserve">Zeige, wie die in den beiden biblischen Texten angeführten Grundmotive dort verwendet werden und was sie jeweils zu verstehen geben. </w:t>
      </w:r>
      <w:r w:rsidRPr="004C53A7">
        <w:rPr>
          <w:sz w:val="20"/>
          <w:szCs w:val="18"/>
        </w:rPr>
        <w:t>[Reproduktion]</w:t>
      </w:r>
    </w:p>
    <w:p w14:paraId="324F3FD1" w14:textId="77777777" w:rsidR="00761FB3" w:rsidRDefault="00761FB3" w:rsidP="00761FB3">
      <w:pPr>
        <w:pStyle w:val="Aufgabennummeriert"/>
      </w:pPr>
      <w:r>
        <w:t xml:space="preserve">Entwickle einen Zugang zu den genannten Grundmotiven, indem du zeigst, dass und was sie auch unabhängig vom christlichen Glauben etwas Wichtiges und Menschlich-Zentrales aussagen. </w:t>
      </w:r>
      <w:r w:rsidRPr="004C53A7">
        <w:rPr>
          <w:sz w:val="20"/>
          <w:szCs w:val="18"/>
        </w:rPr>
        <w:t>[Denken/Reflexion]</w:t>
      </w:r>
    </w:p>
    <w:p w14:paraId="532A14B6" w14:textId="12835998" w:rsidR="00B3685C" w:rsidRPr="00BB249F" w:rsidRDefault="00761FB3" w:rsidP="00BB249F">
      <w:pPr>
        <w:pStyle w:val="Aufgabennummeriert"/>
        <w:rPr>
          <w:sz w:val="20"/>
          <w:szCs w:val="18"/>
        </w:rPr>
      </w:pPr>
      <w:r>
        <w:t xml:space="preserve">Erstell eine Rangliste der 5 wichtigsten biblischen Grundmotive. Begründe deine Auswahl. </w:t>
      </w:r>
      <w:r w:rsidRPr="00172747">
        <w:rPr>
          <w:sz w:val="20"/>
          <w:szCs w:val="18"/>
        </w:rPr>
        <w:t>[Denken/Reproduktion]</w:t>
      </w:r>
    </w:p>
    <w:sectPr w:rsidR="00B3685C" w:rsidRPr="00BB249F" w:rsidSect="00E33A8F">
      <w:headerReference w:type="default" r:id="rId17"/>
      <w:footerReference w:type="default" r:id="rId18"/>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9DA3" w14:textId="77777777" w:rsidR="00957138" w:rsidRDefault="00957138" w:rsidP="009042F2">
      <w:pPr>
        <w:spacing w:after="0" w:line="240" w:lineRule="auto"/>
      </w:pPr>
      <w:r>
        <w:separator/>
      </w:r>
    </w:p>
  </w:endnote>
  <w:endnote w:type="continuationSeparator" w:id="0">
    <w:p w14:paraId="10DF9C80" w14:textId="77777777" w:rsidR="00957138" w:rsidRDefault="0095713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B55AD4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6057D">
              <w:rPr>
                <w:bCs/>
                <w:noProof/>
                <w:sz w:val="16"/>
                <w:szCs w:val="16"/>
              </w:rPr>
              <w:t>Biblische Grundmotive - MB 451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27F5" w14:textId="77777777" w:rsidR="00957138" w:rsidRDefault="00957138" w:rsidP="009042F2">
      <w:pPr>
        <w:spacing w:after="0" w:line="240" w:lineRule="auto"/>
      </w:pPr>
      <w:r>
        <w:separator/>
      </w:r>
    </w:p>
  </w:footnote>
  <w:footnote w:type="continuationSeparator" w:id="0">
    <w:p w14:paraId="0662A4D6" w14:textId="77777777" w:rsidR="00957138" w:rsidRDefault="0095713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036E"/>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1A49"/>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61FB3"/>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57138"/>
    <w:rsid w:val="009B59EE"/>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249F"/>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6057D"/>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61FB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61FB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61FB3"/>
    <w:pPr>
      <w:spacing w:before="360" w:after="120"/>
    </w:pPr>
    <w:rPr>
      <w:rFonts w:eastAsia="Calibri" w:cs="Times New Roman"/>
      <w:b/>
      <w:bCs/>
      <w:sz w:val="24"/>
      <w:szCs w:val="24"/>
    </w:rPr>
  </w:style>
  <w:style w:type="paragraph" w:customStyle="1" w:styleId="Quelle">
    <w:name w:val="Quelle"/>
    <w:basedOn w:val="Standard"/>
    <w:link w:val="QuelleZchn"/>
    <w:qFormat/>
    <w:rsid w:val="00761FB3"/>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761FB3"/>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761FB3"/>
    <w:rPr>
      <w:rFonts w:ascii="Times New Roman" w:eastAsia="Calibri" w:hAnsi="Times New Roman" w:cs="Times New Roman"/>
      <w:b/>
      <w:sz w:val="18"/>
    </w:rPr>
  </w:style>
  <w:style w:type="paragraph" w:customStyle="1" w:styleId="Quellentext">
    <w:name w:val="Quellentext"/>
    <w:basedOn w:val="Quelle"/>
    <w:link w:val="QuellentextZchn"/>
    <w:qFormat/>
    <w:rsid w:val="00761FB3"/>
    <w:pPr>
      <w:numPr>
        <w:numId w:val="9"/>
      </w:numPr>
      <w:spacing w:before="0"/>
      <w:ind w:left="357" w:hanging="357"/>
      <w:contextualSpacing w:val="0"/>
    </w:pPr>
    <w:rPr>
      <w:b w:val="0"/>
    </w:rPr>
  </w:style>
  <w:style w:type="character" w:customStyle="1" w:styleId="QuellentextZchn">
    <w:name w:val="Quellentext Zchn"/>
    <w:basedOn w:val="QuelleZchn"/>
    <w:link w:val="Quellentext"/>
    <w:rsid w:val="00761FB3"/>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761FB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61F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986</Words>
  <Characters>6217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2021-11-26T15:46:00Z</cp:lastPrinted>
  <dcterms:created xsi:type="dcterms:W3CDTF">2021-08-20T09:43:00Z</dcterms:created>
  <dcterms:modified xsi:type="dcterms:W3CDTF">2021-11-26T15:46:00Z</dcterms:modified>
</cp:coreProperties>
</file>