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491A2A3A" w:rsidR="00C64E57" w:rsidRDefault="00DA283C" w:rsidP="00C64E57">
      <w:pPr>
        <w:spacing w:after="0"/>
        <w:rPr>
          <w:sz w:val="20"/>
        </w:rPr>
      </w:pPr>
      <w:r>
        <w:rPr>
          <w:sz w:val="20"/>
        </w:rPr>
        <w:t xml:space="preserve">Materialblatt </w:t>
      </w:r>
      <w:r w:rsidR="00FC0744">
        <w:rPr>
          <w:sz w:val="20"/>
        </w:rPr>
        <w:t>417</w:t>
      </w:r>
    </w:p>
    <w:p w14:paraId="441B389F" w14:textId="34FB25F0" w:rsidR="00E33A8F" w:rsidRDefault="008D6374" w:rsidP="00E33A8F">
      <w:pPr>
        <w:spacing w:after="0" w:line="240" w:lineRule="auto"/>
        <w:rPr>
          <w:sz w:val="20"/>
        </w:rPr>
      </w:pPr>
      <w:r w:rsidRPr="008D6374">
        <w:rPr>
          <w:sz w:val="20"/>
        </w:rPr>
        <w:t>Stichworte:</w:t>
      </w:r>
    </w:p>
    <w:p w14:paraId="21EB483F" w14:textId="364D2B9B" w:rsidR="00116D67" w:rsidRDefault="00116D67" w:rsidP="00116D67">
      <w:pPr>
        <w:spacing w:after="0" w:line="240" w:lineRule="auto"/>
        <w:ind w:left="284"/>
        <w:rPr>
          <w:sz w:val="20"/>
        </w:rPr>
      </w:pPr>
      <w:r>
        <w:rPr>
          <w:sz w:val="20"/>
        </w:rPr>
        <w:t>Theodizee</w:t>
      </w:r>
    </w:p>
    <w:p w14:paraId="498EAEE0" w14:textId="35A1CAA6" w:rsidR="00116D67" w:rsidRDefault="00116D67" w:rsidP="00116D67">
      <w:pPr>
        <w:spacing w:after="240" w:line="240" w:lineRule="auto"/>
        <w:ind w:left="284"/>
        <w:rPr>
          <w:sz w:val="20"/>
        </w:rPr>
      </w:pPr>
      <w:r>
        <w:rPr>
          <w:sz w:val="20"/>
        </w:rPr>
        <w:t>Atheismus</w:t>
      </w:r>
    </w:p>
    <w:p w14:paraId="53A1B174" w14:textId="1E4CD7B0" w:rsidR="00F85735" w:rsidRDefault="00F85735" w:rsidP="00F85735">
      <w:pPr>
        <w:pStyle w:val="Untertitel"/>
        <w:rPr>
          <w:rFonts w:eastAsia="Calibri"/>
        </w:rPr>
      </w:pPr>
      <w:r>
        <w:rPr>
          <w:rFonts w:eastAsia="Calibri"/>
        </w:rPr>
        <w:t xml:space="preserve">Die </w:t>
      </w:r>
      <w:proofErr w:type="spellStart"/>
      <w:r>
        <w:rPr>
          <w:rFonts w:eastAsia="Calibri"/>
        </w:rPr>
        <w:t>Theodizeefrage</w:t>
      </w:r>
      <w:proofErr w:type="spellEnd"/>
    </w:p>
    <w:p w14:paraId="7D218215" w14:textId="77777777" w:rsidR="00F85735" w:rsidRPr="00071438" w:rsidRDefault="00F85735" w:rsidP="00F85735">
      <w:pPr>
        <w:pStyle w:val="Textkrper"/>
        <w:spacing w:line="360" w:lineRule="auto"/>
        <w:ind w:right="567"/>
        <w:rPr>
          <w:rFonts w:ascii="Times New Roman" w:hAnsi="Times New Roman"/>
          <w:szCs w:val="24"/>
        </w:rPr>
      </w:pPr>
      <w:r w:rsidRPr="00071438">
        <w:rPr>
          <w:rFonts w:ascii="Times New Roman" w:hAnsi="Times New Roman"/>
          <w:szCs w:val="24"/>
        </w:rPr>
        <w:t xml:space="preserve">Erst in der Neuzeit, mit Wende vom 16. zum 17. Jahrhundert, werden ‚atheistisch‘ bzw. ‚Atheismus‘ im philosophischen bzw. theologischen Sprechen verwendet zur Bezeichnung jener Argumente und weltanschaulicher Optionen, in denen die Behauptung der Existenz eines Gottes verneint wird: </w:t>
      </w:r>
      <w:r>
        <w:rPr>
          <w:rFonts w:ascii="Times New Roman" w:hAnsi="Times New Roman"/>
          <w:szCs w:val="24"/>
        </w:rPr>
        <w:t>Ein Denken, das</w:t>
      </w:r>
      <w:r w:rsidRPr="00071438">
        <w:rPr>
          <w:rFonts w:ascii="Times New Roman" w:hAnsi="Times New Roman"/>
          <w:szCs w:val="24"/>
        </w:rPr>
        <w:t xml:space="preserve"> philosophisch begründet, dass die Behauptung einer Existenz Gottes </w:t>
      </w:r>
      <w:r>
        <w:rPr>
          <w:rFonts w:ascii="Times New Roman" w:hAnsi="Times New Roman"/>
          <w:szCs w:val="24"/>
        </w:rPr>
        <w:t>entweder</w:t>
      </w:r>
      <w:r w:rsidRPr="00071438">
        <w:rPr>
          <w:rFonts w:ascii="Times New Roman" w:hAnsi="Times New Roman"/>
          <w:szCs w:val="24"/>
        </w:rPr>
        <w:t xml:space="preserve"> sinnlos</w:t>
      </w:r>
      <w:r>
        <w:rPr>
          <w:rFonts w:ascii="Times New Roman" w:hAnsi="Times New Roman"/>
          <w:szCs w:val="24"/>
        </w:rPr>
        <w:t xml:space="preserve"> oder aber</w:t>
      </w:r>
      <w:r w:rsidRPr="00071438">
        <w:rPr>
          <w:rFonts w:ascii="Times New Roman" w:hAnsi="Times New Roman"/>
          <w:szCs w:val="24"/>
        </w:rPr>
        <w:t xml:space="preserve"> falsch (u</w:t>
      </w:r>
      <w:r>
        <w:rPr>
          <w:rFonts w:ascii="Times New Roman" w:hAnsi="Times New Roman"/>
          <w:szCs w:val="24"/>
        </w:rPr>
        <w:t>nwahr) ist, wird</w:t>
      </w:r>
      <w:r w:rsidRPr="00071438">
        <w:rPr>
          <w:rFonts w:ascii="Times New Roman" w:hAnsi="Times New Roman"/>
          <w:szCs w:val="24"/>
        </w:rPr>
        <w:t xml:space="preserve"> als ‚atheistisch‘ bezeichnet</w:t>
      </w:r>
      <w:r>
        <w:rPr>
          <w:rFonts w:ascii="Times New Roman" w:hAnsi="Times New Roman"/>
          <w:szCs w:val="24"/>
        </w:rPr>
        <w:t xml:space="preserve">. Argumente, dass die Behauptung der Existenz Gottes unwahr ist, werden </w:t>
      </w:r>
      <w:r w:rsidRPr="00071438">
        <w:rPr>
          <w:rFonts w:ascii="Times New Roman" w:hAnsi="Times New Roman"/>
          <w:szCs w:val="24"/>
        </w:rPr>
        <w:t xml:space="preserve">heute in systematischer Reflexion </w:t>
      </w:r>
      <w:r>
        <w:rPr>
          <w:rFonts w:ascii="Times New Roman" w:hAnsi="Times New Roman"/>
          <w:szCs w:val="24"/>
        </w:rPr>
        <w:t>dem ‚dogmatischen theoretischen</w:t>
      </w:r>
      <w:r w:rsidRPr="00071438">
        <w:rPr>
          <w:rFonts w:ascii="Times New Roman" w:hAnsi="Times New Roman"/>
          <w:szCs w:val="24"/>
        </w:rPr>
        <w:t xml:space="preserve"> Atheismus‘ zugezählt</w:t>
      </w:r>
      <w:r>
        <w:rPr>
          <w:rFonts w:ascii="Times New Roman" w:hAnsi="Times New Roman"/>
          <w:szCs w:val="24"/>
        </w:rPr>
        <w:t xml:space="preserve"> (in Abgrenzung vom nicht-dogmatischen theoretischen Atheismus, dem es als sinnlos und als missbräuchliche Verwendung der Sprache gilt, überhaupt von der Existenz- oder Nichtexistenz Gottes zu reden): ‚</w:t>
      </w:r>
      <w:r w:rsidRPr="00071438">
        <w:rPr>
          <w:rFonts w:ascii="Times New Roman" w:hAnsi="Times New Roman"/>
          <w:szCs w:val="24"/>
        </w:rPr>
        <w:t>Gott‘ prädiziert einen (wenn auch irrealen) Gegenstand, für dessen Nichtexistenz zwingende Argumente angeführt werden können.</w:t>
      </w:r>
      <w:r w:rsidRPr="00071438">
        <w:rPr>
          <w:rStyle w:val="Funotenzeichen"/>
          <w:rFonts w:ascii="Times New Roman" w:hAnsi="Times New Roman"/>
          <w:szCs w:val="24"/>
        </w:rPr>
        <w:footnoteReference w:id="1"/>
      </w:r>
      <w:r>
        <w:rPr>
          <w:rFonts w:ascii="Times New Roman" w:hAnsi="Times New Roman"/>
          <w:szCs w:val="24"/>
        </w:rPr>
        <w:t xml:space="preserve"> </w:t>
      </w:r>
      <w:r w:rsidRPr="00071438">
        <w:rPr>
          <w:rFonts w:ascii="Times New Roman" w:hAnsi="Times New Roman"/>
          <w:szCs w:val="24"/>
        </w:rPr>
        <w:t>In gewissem Sinne als Gründer solchen Atheismus kann Ludwig</w:t>
      </w:r>
      <w:r>
        <w:rPr>
          <w:rFonts w:ascii="Times New Roman" w:hAnsi="Times New Roman"/>
          <w:szCs w:val="24"/>
        </w:rPr>
        <w:t xml:space="preserve"> Feuerbach (1804-1872) gelten, </w:t>
      </w:r>
      <w:r w:rsidRPr="00071438">
        <w:rPr>
          <w:rFonts w:ascii="Times New Roman" w:hAnsi="Times New Roman"/>
          <w:szCs w:val="24"/>
        </w:rPr>
        <w:t>war er es doch, der dadurch, dass er in seinem Buch ‚Das Wesen des Christentums‘ (1841) die Bibelkritik der ‚Linkshegelianer‘ in eine allgemeine Religionskritik überführte, die Befreiung des Menschen von jeglicher Gottesvorstellung und von jeder Religion als Bedingung auswies menschlicher Glückswillig- und Glücksfähigkeit, Gott demaskierend als Projektion unerfüllter Wünsche des Menschen, als den „Ersatz einer verlorenen Welt“.</w:t>
      </w:r>
      <w:r w:rsidRPr="00071438">
        <w:rPr>
          <w:rStyle w:val="Funotenzeichen"/>
          <w:rFonts w:ascii="Times New Roman" w:hAnsi="Times New Roman"/>
          <w:szCs w:val="24"/>
        </w:rPr>
        <w:footnoteReference w:id="2"/>
      </w:r>
      <w:r w:rsidRPr="00071438">
        <w:rPr>
          <w:rFonts w:ascii="Times New Roman" w:hAnsi="Times New Roman"/>
          <w:szCs w:val="24"/>
        </w:rPr>
        <w:t xml:space="preserve"> Dieser im Gewand humanen Glücks- und säkularen Heilsversprechens auftretende Atheismus ist es auch heute, der mit L. Feuerbach zur Anthropologisierung von Religion aufruft, der mit K. Marx die Religion als „Seufzer der bedrängten Kreatur“</w:t>
      </w:r>
      <w:r w:rsidRPr="00071438">
        <w:rPr>
          <w:rStyle w:val="Funotenzeichen"/>
          <w:rFonts w:ascii="Times New Roman" w:hAnsi="Times New Roman"/>
          <w:szCs w:val="24"/>
        </w:rPr>
        <w:footnoteReference w:id="3"/>
      </w:r>
      <w:r w:rsidRPr="00071438">
        <w:rPr>
          <w:rFonts w:ascii="Times New Roman" w:hAnsi="Times New Roman"/>
          <w:szCs w:val="24"/>
        </w:rPr>
        <w:t xml:space="preserve"> und als „Opium des Volkes“</w:t>
      </w:r>
      <w:r w:rsidRPr="00071438">
        <w:rPr>
          <w:rStyle w:val="Funotenzeichen"/>
          <w:rFonts w:ascii="Times New Roman" w:hAnsi="Times New Roman"/>
          <w:szCs w:val="24"/>
        </w:rPr>
        <w:footnoteReference w:id="4"/>
      </w:r>
      <w:r w:rsidRPr="00071438">
        <w:rPr>
          <w:rFonts w:ascii="Times New Roman" w:hAnsi="Times New Roman"/>
          <w:szCs w:val="24"/>
        </w:rPr>
        <w:t xml:space="preserve"> geißelt oder der in das Horn des von F. Nietzsche propagierten radikalisierten Irrationalismus (‚Nihilismus‘) </w:t>
      </w:r>
      <w:r w:rsidRPr="00071438">
        <w:rPr>
          <w:rFonts w:ascii="Times New Roman" w:hAnsi="Times New Roman"/>
          <w:szCs w:val="24"/>
        </w:rPr>
        <w:lastRenderedPageBreak/>
        <w:t>zu blasen beansprucht, Gott gegen die „Hinterweltler“</w:t>
      </w:r>
      <w:r w:rsidRPr="00071438">
        <w:rPr>
          <w:rStyle w:val="Funotenzeichen"/>
          <w:rFonts w:ascii="Times New Roman" w:hAnsi="Times New Roman"/>
          <w:szCs w:val="24"/>
        </w:rPr>
        <w:footnoteReference w:id="5"/>
      </w:r>
      <w:r w:rsidRPr="00071438">
        <w:rPr>
          <w:rFonts w:ascii="Times New Roman" w:hAnsi="Times New Roman"/>
          <w:szCs w:val="24"/>
        </w:rPr>
        <w:t xml:space="preserve"> als „Menschen-Werk und -Wahnsinn“</w:t>
      </w:r>
      <w:r w:rsidRPr="00071438">
        <w:rPr>
          <w:rStyle w:val="Funotenzeichen"/>
          <w:rFonts w:ascii="Times New Roman" w:hAnsi="Times New Roman"/>
          <w:szCs w:val="24"/>
        </w:rPr>
        <w:footnoteReference w:id="6"/>
      </w:r>
      <w:r w:rsidRPr="00071438">
        <w:rPr>
          <w:rFonts w:ascii="Times New Roman" w:hAnsi="Times New Roman"/>
          <w:szCs w:val="24"/>
        </w:rPr>
        <w:t>, das Christentum als „Vampyrismus“</w:t>
      </w:r>
      <w:r w:rsidRPr="00071438">
        <w:rPr>
          <w:rStyle w:val="Funotenzeichen"/>
          <w:rFonts w:ascii="Times New Roman" w:hAnsi="Times New Roman"/>
          <w:szCs w:val="24"/>
        </w:rPr>
        <w:footnoteReference w:id="7"/>
      </w:r>
      <w:r w:rsidRPr="00071438">
        <w:rPr>
          <w:rFonts w:ascii="Times New Roman" w:hAnsi="Times New Roman"/>
          <w:szCs w:val="24"/>
        </w:rPr>
        <w:t xml:space="preserve"> brandmarkend. </w:t>
      </w:r>
    </w:p>
    <w:p w14:paraId="098862C2" w14:textId="77777777" w:rsidR="00F85735" w:rsidRDefault="00F85735" w:rsidP="00F85735">
      <w:pPr>
        <w:pStyle w:val="Textkrper-Erstzeileneinzug"/>
        <w:spacing w:line="360" w:lineRule="auto"/>
        <w:ind w:right="567" w:firstLine="567"/>
        <w:jc w:val="both"/>
        <w:rPr>
          <w:rFonts w:ascii="Times New Roman" w:hAnsi="Times New Roman"/>
          <w:sz w:val="24"/>
          <w:szCs w:val="24"/>
        </w:rPr>
      </w:pPr>
      <w:r w:rsidRPr="00071438">
        <w:rPr>
          <w:rFonts w:ascii="Times New Roman" w:hAnsi="Times New Roman"/>
          <w:sz w:val="24"/>
          <w:szCs w:val="24"/>
        </w:rPr>
        <w:t xml:space="preserve">Auch wenn sich der Atheismus heute zumeist nicht mehr in dieser gedanklichen und begrifflichen Schärfe seiner Gründerväter artikuliert bzw. überhaupt sich zu artikulieren vermag, sondern in wissenschaftlich unzureichender, gleichwohl gemäß der gängigen Ökonomie der </w:t>
      </w:r>
      <w:proofErr w:type="spellStart"/>
      <w:r w:rsidRPr="00071438">
        <w:rPr>
          <w:rFonts w:ascii="Times New Roman" w:hAnsi="Times New Roman"/>
          <w:sz w:val="24"/>
          <w:szCs w:val="24"/>
        </w:rPr>
        <w:t>Aufmerksamkeitserheischung</w:t>
      </w:r>
      <w:proofErr w:type="spellEnd"/>
      <w:r w:rsidRPr="00071438">
        <w:rPr>
          <w:rFonts w:ascii="Times New Roman" w:hAnsi="Times New Roman"/>
          <w:sz w:val="24"/>
          <w:szCs w:val="24"/>
        </w:rPr>
        <w:t xml:space="preserve"> in äußerst erfolgreicher Weise (etwa in den Publikationen, die </w:t>
      </w:r>
      <w:r>
        <w:rPr>
          <w:rFonts w:ascii="Times New Roman" w:hAnsi="Times New Roman"/>
          <w:sz w:val="24"/>
          <w:szCs w:val="24"/>
        </w:rPr>
        <w:t xml:space="preserve">z.B. </w:t>
      </w:r>
      <w:r w:rsidRPr="00071438">
        <w:rPr>
          <w:rFonts w:ascii="Times New Roman" w:hAnsi="Times New Roman"/>
          <w:sz w:val="24"/>
          <w:szCs w:val="24"/>
        </w:rPr>
        <w:t>der Feder von Richard Dawkins, Christopher Hitchens und Michel Onfray</w:t>
      </w:r>
      <w:r>
        <w:rPr>
          <w:rFonts w:ascii="Times New Roman" w:hAnsi="Times New Roman"/>
          <w:sz w:val="24"/>
          <w:szCs w:val="24"/>
        </w:rPr>
        <w:t xml:space="preserve"> </w:t>
      </w:r>
      <w:r w:rsidRPr="00071438">
        <w:rPr>
          <w:rFonts w:ascii="Times New Roman" w:hAnsi="Times New Roman"/>
          <w:sz w:val="24"/>
          <w:szCs w:val="24"/>
        </w:rPr>
        <w:t>entstammen):</w:t>
      </w:r>
      <w:r w:rsidRPr="00071438">
        <w:rPr>
          <w:rStyle w:val="Funotenzeichen"/>
          <w:rFonts w:ascii="Times New Roman" w:hAnsi="Times New Roman"/>
          <w:sz w:val="24"/>
          <w:szCs w:val="24"/>
        </w:rPr>
        <w:footnoteReference w:id="8"/>
      </w:r>
      <w:r w:rsidRPr="00071438">
        <w:rPr>
          <w:rFonts w:ascii="Times New Roman" w:hAnsi="Times New Roman"/>
          <w:sz w:val="24"/>
          <w:szCs w:val="24"/>
        </w:rPr>
        <w:t xml:space="preserve"> Legitimiert werden darf mit den Mängeln aktueller atheistischer Positionierungen nicht ein Zurückgehen zur überlieferten Ordnung des Religiös-Theologischen vergangener Tage. Denn schon die gesellschaftlich-politisch-ökonomischen, psychologischen und philosophischen Analysen der Gründungsväter des neuzeitlichen Atheismus erweisen sich in vielerlei Hinsicht als resistent gegen die gängigen Versuche religiöser oder theologischer Gegenargumentation, ebenso die ‚klassischen‘ Einwände eines Iwan Karamassow oder eines Albert Camus, gleich wie eines Emil M. Cioran oder anderer. Sie alle sind stimuliert von der reflexiv eingeholten Erfahrung des offenkundig Mangelhaften, sie alle leben von der unmittelbaren Evidenz des eingefordert Besseren: Der christliche Gott wird angeklagt, der erfahrenen Realität zu widersprechen und dem Gelingen des Besseren entgegenzustehen; an die Stelle philosophisch, religiös, ökonomisch oder psychisch bedingter Entfremdung solle der Mensch wieder zu sich selbst gelangen können. Das diesseitig-reale „Reich der Freiheit“</w:t>
      </w:r>
      <w:r w:rsidRPr="00071438">
        <w:rPr>
          <w:rStyle w:val="Funotenzeichen"/>
          <w:rFonts w:ascii="Times New Roman" w:hAnsi="Times New Roman"/>
          <w:sz w:val="24"/>
          <w:szCs w:val="24"/>
        </w:rPr>
        <w:footnoteReference w:id="9"/>
      </w:r>
      <w:r w:rsidRPr="00071438">
        <w:rPr>
          <w:rFonts w:ascii="Times New Roman" w:hAnsi="Times New Roman"/>
          <w:sz w:val="24"/>
          <w:szCs w:val="24"/>
        </w:rPr>
        <w:t xml:space="preserve"> oder der zarathustrische Übermensch ersetzen hier das transzendent-irreale Gespenst der Religionen, spannen auf den Horizont menschlichen Glücksstrebens. Der Tod Gottes wird hier, in den atheistischen Sprachsystemen, zum intellektuell allein möglichen und existentiell-ethisch allein redlichen Lebens- und Befreiungsakt gebeutelter Humanität. Und auch jene Denker, die ein solches Freiheits- und Glückstreben zwingend unerfüllt sein lassen, weil sie an dessen Stelle das Absurde oder den Aufstand der kämpfenden Existenz setzen, können die Bewegung ihrer Auflehnung und den Gang ihrer Argumentation anheben lassen letztlich allein von der unterscheidenden Vorstellung des Besseren – weil Anderes sein soll, darf nicht sein dasjenige, was ist: Angesichts unmittelbarer Erfahrung des Leidens Unschuldiger, erst recht aber im Wissen um auch nur eine einzige der vielen </w:t>
      </w:r>
      <w:r w:rsidRPr="00071438">
        <w:rPr>
          <w:rFonts w:ascii="Times New Roman" w:hAnsi="Times New Roman"/>
          <w:sz w:val="24"/>
          <w:szCs w:val="24"/>
        </w:rPr>
        <w:lastRenderedPageBreak/>
        <w:t>„unvergoltenen Kindertränchen“</w:t>
      </w:r>
      <w:r w:rsidRPr="00071438">
        <w:rPr>
          <w:rStyle w:val="Funotenzeichen"/>
          <w:rFonts w:ascii="Times New Roman" w:hAnsi="Times New Roman"/>
          <w:sz w:val="24"/>
          <w:szCs w:val="24"/>
        </w:rPr>
        <w:footnoteReference w:id="10"/>
      </w:r>
      <w:r w:rsidRPr="00071438">
        <w:rPr>
          <w:rFonts w:ascii="Times New Roman" w:hAnsi="Times New Roman"/>
          <w:sz w:val="24"/>
          <w:szCs w:val="24"/>
        </w:rPr>
        <w:t xml:space="preserve"> kapituliert jede Erklärung, jede „Harmonie“.</w:t>
      </w:r>
      <w:r w:rsidRPr="00071438">
        <w:rPr>
          <w:rStyle w:val="Funotenzeichen"/>
          <w:rFonts w:ascii="Times New Roman" w:hAnsi="Times New Roman"/>
          <w:sz w:val="24"/>
          <w:szCs w:val="24"/>
        </w:rPr>
        <w:footnoteReference w:id="11"/>
      </w:r>
      <w:r w:rsidRPr="00071438">
        <w:rPr>
          <w:rFonts w:ascii="Times New Roman" w:hAnsi="Times New Roman"/>
          <w:sz w:val="24"/>
          <w:szCs w:val="24"/>
        </w:rPr>
        <w:t xml:space="preserve"> Einem Gott, der eine Schöpfung zu verantworten hat, in der solches Leiden und solche Tränen möglich sind, gehört die „Eintrittskarte“</w:t>
      </w:r>
      <w:r w:rsidRPr="00071438">
        <w:rPr>
          <w:rStyle w:val="Funotenzeichen"/>
          <w:rFonts w:ascii="Times New Roman" w:hAnsi="Times New Roman"/>
          <w:sz w:val="24"/>
          <w:szCs w:val="24"/>
        </w:rPr>
        <w:footnoteReference w:id="12"/>
      </w:r>
      <w:r w:rsidRPr="00071438">
        <w:rPr>
          <w:rFonts w:ascii="Times New Roman" w:hAnsi="Times New Roman"/>
          <w:sz w:val="24"/>
          <w:szCs w:val="24"/>
        </w:rPr>
        <w:t xml:space="preserve"> zurückgegeben, man wird sich „bis in den Tod hinein weigern, die Schöpfung zu lieben, in der Kinder gemartert werden.“</w:t>
      </w:r>
      <w:r w:rsidRPr="00071438">
        <w:rPr>
          <w:rStyle w:val="Funotenzeichen"/>
          <w:rFonts w:ascii="Times New Roman" w:hAnsi="Times New Roman"/>
          <w:sz w:val="24"/>
          <w:szCs w:val="24"/>
        </w:rPr>
        <w:footnoteReference w:id="13"/>
      </w:r>
    </w:p>
    <w:p w14:paraId="50415B28" w14:textId="77777777" w:rsidR="00F85735" w:rsidRPr="007424D7" w:rsidRDefault="00F85735" w:rsidP="00F85735">
      <w:pPr>
        <w:pStyle w:val="Textkrper-Erstzeileneinzug"/>
        <w:spacing w:line="360" w:lineRule="auto"/>
        <w:ind w:right="567" w:firstLine="567"/>
        <w:jc w:val="both"/>
        <w:rPr>
          <w:rFonts w:ascii="Times New Roman" w:hAnsi="Times New Roman"/>
          <w:sz w:val="24"/>
          <w:szCs w:val="24"/>
        </w:rPr>
      </w:pPr>
      <w:r w:rsidRPr="00071438">
        <w:rPr>
          <w:rFonts w:ascii="Times New Roman" w:hAnsi="Times New Roman"/>
          <w:sz w:val="24"/>
          <w:szCs w:val="24"/>
        </w:rPr>
        <w:t>Wie aber kann dann Religion, wie kann Glaube da noch möglich und theologisches Arbeiten angesichts der tatsächlichen Überzeugungskraft dieser atheistischen Argumente noch sinnvoll sein – widersetzt sich die Erfahrung des Leidens Unschuldiger nicht jedem, erst recht aber jedem wissenschaftlichen Systematisierungsversuch, auch und gerade der Theologien?</w:t>
      </w:r>
    </w:p>
    <w:p w14:paraId="7652ED96" w14:textId="77777777" w:rsidR="00F85735" w:rsidRPr="000A55D5" w:rsidRDefault="00F85735" w:rsidP="00F85735">
      <w:pPr>
        <w:pStyle w:val="Quelle"/>
      </w:pPr>
      <w:r>
        <w:t>Literaturverzeichnis:</w:t>
      </w:r>
    </w:p>
    <w:p w14:paraId="66718E73" w14:textId="77777777" w:rsidR="00F85735" w:rsidRDefault="00F85735" w:rsidP="00F85735">
      <w:pPr>
        <w:pStyle w:val="Quellentext"/>
      </w:pPr>
      <w:r>
        <w:t xml:space="preserve">Camus, Albert, Die Pest (1947), Hamburg </w:t>
      </w:r>
      <w:r w:rsidRPr="00AA61E0">
        <w:rPr>
          <w:vertAlign w:val="superscript"/>
        </w:rPr>
        <w:t>76</w:t>
      </w:r>
      <w:r>
        <w:t>2009.</w:t>
      </w:r>
    </w:p>
    <w:p w14:paraId="2D72AE77" w14:textId="77777777" w:rsidR="00F85735" w:rsidRDefault="00F85735" w:rsidP="00F85735">
      <w:pPr>
        <w:pStyle w:val="Quellentext"/>
      </w:pPr>
      <w:r>
        <w:t xml:space="preserve">Dostojewskij, </w:t>
      </w:r>
      <w:r w:rsidRPr="00F44357">
        <w:t>Fjodor Michailowitsch</w:t>
      </w:r>
      <w:r>
        <w:t xml:space="preserve">, Die Brüder Karamasow, München </w:t>
      </w:r>
      <w:r>
        <w:rPr>
          <w:vertAlign w:val="superscript"/>
        </w:rPr>
        <w:t>26</w:t>
      </w:r>
      <w:r>
        <w:t>1996.</w:t>
      </w:r>
    </w:p>
    <w:p w14:paraId="239BD928" w14:textId="77777777" w:rsidR="00F85735" w:rsidRPr="00B913EF" w:rsidRDefault="00F85735" w:rsidP="00F85735">
      <w:pPr>
        <w:pStyle w:val="Quellentext"/>
      </w:pPr>
      <w:r w:rsidRPr="00B913EF">
        <w:t>Dawkins, Richard</w:t>
      </w:r>
      <w:r>
        <w:t xml:space="preserve"> [</w:t>
      </w:r>
      <w:r w:rsidRPr="00A86C7D">
        <w:t>Regenbogen</w:t>
      </w:r>
      <w:r>
        <w:t>]</w:t>
      </w:r>
      <w:r w:rsidRPr="00B913EF">
        <w:t xml:space="preserve">: Der entzauberte </w:t>
      </w:r>
      <w:r w:rsidRPr="00A86C7D">
        <w:t>Regenbogen</w:t>
      </w:r>
      <w:r w:rsidRPr="00B913EF">
        <w:t xml:space="preserve">. Wissenschaft, Aberglaube und die Kraft der </w:t>
      </w:r>
      <w:proofErr w:type="gramStart"/>
      <w:r w:rsidRPr="00B913EF">
        <w:t>Phantasie</w:t>
      </w:r>
      <w:proofErr w:type="gramEnd"/>
      <w:r w:rsidRPr="00B913EF">
        <w:t xml:space="preserve">, Hamburg </w:t>
      </w:r>
      <w:r w:rsidRPr="00B913EF">
        <w:rPr>
          <w:vertAlign w:val="superscript"/>
        </w:rPr>
        <w:t>2</w:t>
      </w:r>
      <w:r w:rsidRPr="00B913EF">
        <w:t>2002.</w:t>
      </w:r>
    </w:p>
    <w:p w14:paraId="2CE6A9C6" w14:textId="77777777" w:rsidR="00F85735" w:rsidRPr="00B913EF" w:rsidRDefault="00F85735" w:rsidP="00F85735">
      <w:pPr>
        <w:pStyle w:val="Quellentext"/>
      </w:pPr>
      <w:r w:rsidRPr="00B913EF">
        <w:t>Dawkins, Richard</w:t>
      </w:r>
      <w:r>
        <w:t xml:space="preserve"> [</w:t>
      </w:r>
      <w:r w:rsidRPr="00A86C7D">
        <w:t>Gotteswahn</w:t>
      </w:r>
      <w:r>
        <w:t>]</w:t>
      </w:r>
      <w:r w:rsidRPr="00B913EF">
        <w:t xml:space="preserve">: Der </w:t>
      </w:r>
      <w:r w:rsidRPr="00A86C7D">
        <w:t>Gotteswahn,</w:t>
      </w:r>
      <w:r w:rsidRPr="00B913EF">
        <w:t xml:space="preserve"> Berlin 2007.</w:t>
      </w:r>
    </w:p>
    <w:p w14:paraId="280BED65" w14:textId="77777777" w:rsidR="00F85735" w:rsidRPr="00B913EF" w:rsidRDefault="00F85735" w:rsidP="00F85735">
      <w:pPr>
        <w:pStyle w:val="Quellentext"/>
      </w:pPr>
      <w:r w:rsidRPr="00B913EF">
        <w:t>Hitchens, Christopher</w:t>
      </w:r>
      <w:r>
        <w:t xml:space="preserve"> [</w:t>
      </w:r>
      <w:r w:rsidRPr="00A86C7D">
        <w:t>Herr</w:t>
      </w:r>
      <w:r>
        <w:t>]:</w:t>
      </w:r>
      <w:r w:rsidRPr="00B913EF">
        <w:t xml:space="preserve"> Der </w:t>
      </w:r>
      <w:r w:rsidRPr="00A86C7D">
        <w:t>Herr</w:t>
      </w:r>
      <w:r w:rsidRPr="00B913EF">
        <w:t xml:space="preserve"> ist kein Hirte: Wie Religion die Welt vergiftet, München 2007.</w:t>
      </w:r>
    </w:p>
    <w:p w14:paraId="6C9EF4B6" w14:textId="77777777" w:rsidR="00F85735" w:rsidRDefault="00F85735" w:rsidP="00F85735">
      <w:pPr>
        <w:pStyle w:val="Quellentext"/>
      </w:pPr>
      <w:r w:rsidRPr="004E0402">
        <w:t>Marx,</w:t>
      </w:r>
      <w:r>
        <w:t xml:space="preserve"> Karl, </w:t>
      </w:r>
      <w:r w:rsidRPr="004E0402">
        <w:t>Das Kapital. Kritik der politischen Ökonomie, Band 3 (1894), in: Karl Marx / Friedrich Engels, Werke, Bd. 25, Berlin (Dietz-Verlag) 1984, S. 828.</w:t>
      </w:r>
    </w:p>
    <w:p w14:paraId="291ECCB9" w14:textId="77777777" w:rsidR="00F85735" w:rsidRDefault="00F85735" w:rsidP="00F85735">
      <w:pPr>
        <w:pStyle w:val="Quellentext"/>
      </w:pPr>
      <w:r>
        <w:t xml:space="preserve">Marx, Karl, Thesen über Feuerbach (1845), in: </w:t>
      </w:r>
      <w:r w:rsidRPr="004E0402">
        <w:t xml:space="preserve">Karl Marx / Friedrich Engels, Werke, Bd. </w:t>
      </w:r>
      <w:r>
        <w:t>3</w:t>
      </w:r>
      <w:r w:rsidRPr="004E0402">
        <w:t xml:space="preserve">, Berlin (Dietz-Verlag) 1984, S. </w:t>
      </w:r>
      <w:r>
        <w:t>5-7.</w:t>
      </w:r>
    </w:p>
    <w:p w14:paraId="1DA0B08C" w14:textId="77777777" w:rsidR="00F85735" w:rsidRDefault="00F85735" w:rsidP="00F85735">
      <w:pPr>
        <w:pStyle w:val="Quellentext"/>
      </w:pPr>
      <w:r>
        <w:t xml:space="preserve">Marx, Karl, Zur Kritik der Hegelschen Rechtsphilosophie. Einleitung (1844), in: </w:t>
      </w:r>
      <w:r w:rsidRPr="004E0402">
        <w:t xml:space="preserve">Karl Marx / Friedrich Engels, Werke, Bd. </w:t>
      </w:r>
      <w:r>
        <w:t>1</w:t>
      </w:r>
      <w:r w:rsidRPr="004E0402">
        <w:t xml:space="preserve">, Berlin (Dietz-Verlag) 1984, </w:t>
      </w:r>
      <w:r>
        <w:t>S. 378-391.</w:t>
      </w:r>
    </w:p>
    <w:p w14:paraId="38A1AE72" w14:textId="77777777" w:rsidR="00F85735" w:rsidRDefault="00F85735" w:rsidP="00F85735">
      <w:pPr>
        <w:pStyle w:val="Quellentext"/>
        <w:rPr>
          <w:szCs w:val="20"/>
        </w:rPr>
      </w:pPr>
      <w:proofErr w:type="spellStart"/>
      <w:proofErr w:type="gramStart"/>
      <w:r w:rsidRPr="0004294F">
        <w:rPr>
          <w:lang w:val="it-IT"/>
        </w:rPr>
        <w:t>Niet</w:t>
      </w:r>
      <w:r>
        <w:rPr>
          <w:lang w:val="it-IT"/>
        </w:rPr>
        <w:t>zsche,Friedrich</w:t>
      </w:r>
      <w:proofErr w:type="spellEnd"/>
      <w:proofErr w:type="gramEnd"/>
      <w:r>
        <w:rPr>
          <w:lang w:val="it-IT"/>
        </w:rPr>
        <w:t xml:space="preserve">, </w:t>
      </w:r>
      <w:proofErr w:type="spellStart"/>
      <w:r>
        <w:rPr>
          <w:lang w:val="it-IT"/>
        </w:rPr>
        <w:t>Also</w:t>
      </w:r>
      <w:proofErr w:type="spellEnd"/>
      <w:r>
        <w:rPr>
          <w:lang w:val="it-IT"/>
        </w:rPr>
        <w:t xml:space="preserve"> </w:t>
      </w:r>
      <w:proofErr w:type="spellStart"/>
      <w:r>
        <w:rPr>
          <w:lang w:val="it-IT"/>
        </w:rPr>
        <w:t>sprach</w:t>
      </w:r>
      <w:proofErr w:type="spellEnd"/>
      <w:r>
        <w:rPr>
          <w:lang w:val="it-IT"/>
        </w:rPr>
        <w:t xml:space="preserve"> Zarathustra (1883 /1885), in:</w:t>
      </w:r>
      <w:r w:rsidRPr="00DE793C">
        <w:rPr>
          <w:szCs w:val="16"/>
        </w:rPr>
        <w:t xml:space="preserve"> Giorgio Collie, </w:t>
      </w:r>
      <w:proofErr w:type="spellStart"/>
      <w:r w:rsidRPr="00DE793C">
        <w:rPr>
          <w:szCs w:val="16"/>
        </w:rPr>
        <w:t>Mazzino</w:t>
      </w:r>
      <w:proofErr w:type="spellEnd"/>
      <w:r w:rsidRPr="00DE793C">
        <w:rPr>
          <w:szCs w:val="16"/>
        </w:rPr>
        <w:t xml:space="preserve"> Montinari (Hrsg.), Friedrich Nietzsche: Sämtliche W</w:t>
      </w:r>
      <w:r>
        <w:rPr>
          <w:szCs w:val="16"/>
        </w:rPr>
        <w:t>erke, Kritische Studienausgabe,</w:t>
      </w:r>
      <w:r>
        <w:rPr>
          <w:lang w:val="it-IT"/>
        </w:rPr>
        <w:t xml:space="preserve"> </w:t>
      </w:r>
      <w:proofErr w:type="spellStart"/>
      <w:r w:rsidRPr="0004294F">
        <w:rPr>
          <w:lang w:val="it-IT"/>
        </w:rPr>
        <w:t>Bd</w:t>
      </w:r>
      <w:proofErr w:type="spellEnd"/>
      <w:r w:rsidRPr="0004294F">
        <w:rPr>
          <w:lang w:val="it-IT"/>
        </w:rPr>
        <w:t>. 4, S.</w:t>
      </w:r>
      <w:r>
        <w:rPr>
          <w:lang w:val="it-IT"/>
        </w:rPr>
        <w:t xml:space="preserve"> 1</w:t>
      </w:r>
      <w:r w:rsidRPr="0004294F">
        <w:rPr>
          <w:lang w:val="it-IT"/>
        </w:rPr>
        <w:t>9</w:t>
      </w:r>
      <w:r>
        <w:rPr>
          <w:lang w:val="it-IT"/>
        </w:rPr>
        <w:t>.</w:t>
      </w:r>
    </w:p>
    <w:p w14:paraId="2DAE1F1C" w14:textId="77777777" w:rsidR="00F85735" w:rsidRDefault="00F85735" w:rsidP="00F85735">
      <w:pPr>
        <w:pStyle w:val="Quellentext"/>
        <w:rPr>
          <w:szCs w:val="20"/>
        </w:rPr>
      </w:pPr>
      <w:r w:rsidRPr="007529C4">
        <w:rPr>
          <w:szCs w:val="20"/>
        </w:rPr>
        <w:t>Nietzsche,</w:t>
      </w:r>
      <w:r>
        <w:rPr>
          <w:szCs w:val="20"/>
        </w:rPr>
        <w:t xml:space="preserve"> Friedrich, Ecce homo. Wie man wird, was man ist (1888/1889), in: </w:t>
      </w:r>
      <w:r w:rsidRPr="00DE793C">
        <w:rPr>
          <w:szCs w:val="16"/>
        </w:rPr>
        <w:t xml:space="preserve">Giorgio Collie, </w:t>
      </w:r>
      <w:proofErr w:type="spellStart"/>
      <w:r w:rsidRPr="00DE793C">
        <w:rPr>
          <w:szCs w:val="16"/>
        </w:rPr>
        <w:t>Mazzino</w:t>
      </w:r>
      <w:proofErr w:type="spellEnd"/>
      <w:r w:rsidRPr="00DE793C">
        <w:rPr>
          <w:szCs w:val="16"/>
        </w:rPr>
        <w:t xml:space="preserve"> Montinari (Hrsg.), Friedrich Nietzsche: Sämtliche W</w:t>
      </w:r>
      <w:r>
        <w:rPr>
          <w:szCs w:val="16"/>
        </w:rPr>
        <w:t>erke, Kritische Studienausgabe,</w:t>
      </w:r>
      <w:r>
        <w:rPr>
          <w:lang w:val="it-IT"/>
        </w:rPr>
        <w:t xml:space="preserve"> </w:t>
      </w:r>
      <w:proofErr w:type="spellStart"/>
      <w:r w:rsidRPr="0004294F">
        <w:rPr>
          <w:lang w:val="it-IT"/>
        </w:rPr>
        <w:t>Bd</w:t>
      </w:r>
      <w:proofErr w:type="spellEnd"/>
      <w:r w:rsidRPr="0004294F">
        <w:rPr>
          <w:lang w:val="it-IT"/>
        </w:rPr>
        <w:t xml:space="preserve">. </w:t>
      </w:r>
      <w:r>
        <w:rPr>
          <w:lang w:val="it-IT"/>
        </w:rPr>
        <w:t xml:space="preserve">6, </w:t>
      </w:r>
      <w:proofErr w:type="spellStart"/>
      <w:r>
        <w:rPr>
          <w:lang w:val="it-IT"/>
        </w:rPr>
        <w:t>hier</w:t>
      </w:r>
      <w:proofErr w:type="spellEnd"/>
      <w:r>
        <w:rPr>
          <w:lang w:val="it-IT"/>
        </w:rPr>
        <w:t xml:space="preserve">: </w:t>
      </w:r>
      <w:proofErr w:type="spellStart"/>
      <w:r>
        <w:rPr>
          <w:lang w:val="it-IT"/>
        </w:rPr>
        <w:t>Nachgelassene</w:t>
      </w:r>
      <w:proofErr w:type="spellEnd"/>
      <w:r>
        <w:rPr>
          <w:lang w:val="it-IT"/>
        </w:rPr>
        <w:t xml:space="preserve"> </w:t>
      </w:r>
      <w:proofErr w:type="spellStart"/>
      <w:r>
        <w:rPr>
          <w:lang w:val="it-IT"/>
        </w:rPr>
        <w:t>Schriften</w:t>
      </w:r>
      <w:proofErr w:type="spellEnd"/>
      <w:r>
        <w:rPr>
          <w:lang w:val="it-IT"/>
        </w:rPr>
        <w:t>, S. 255-374.</w:t>
      </w:r>
    </w:p>
    <w:p w14:paraId="0BEC4AE5" w14:textId="77777777" w:rsidR="00F85735" w:rsidRPr="004E0402" w:rsidRDefault="00F85735" w:rsidP="00F85735">
      <w:pPr>
        <w:pStyle w:val="Quellentext"/>
      </w:pPr>
      <w:r w:rsidRPr="00B913EF">
        <w:t>Onfray, Michael</w:t>
      </w:r>
      <w:r>
        <w:t xml:space="preserve"> [</w:t>
      </w:r>
      <w:r w:rsidRPr="00A86C7D">
        <w:t>Gott</w:t>
      </w:r>
      <w:r>
        <w:t>]</w:t>
      </w:r>
      <w:r w:rsidRPr="00B913EF">
        <w:t xml:space="preserve">: Wir brauchen keinen </w:t>
      </w:r>
      <w:r w:rsidRPr="00A86C7D">
        <w:t>Gott</w:t>
      </w:r>
      <w:r w:rsidRPr="00B913EF">
        <w:t xml:space="preserve">. Warum man jetzt Atheist sein muss, München </w:t>
      </w:r>
      <w:r w:rsidRPr="00B913EF">
        <w:rPr>
          <w:vertAlign w:val="superscript"/>
        </w:rPr>
        <w:t>4</w:t>
      </w:r>
      <w:r w:rsidRPr="00B913EF">
        <w:t>2007.</w:t>
      </w:r>
    </w:p>
    <w:p w14:paraId="0301DEE1" w14:textId="77777777" w:rsidR="00F85735" w:rsidRPr="00377B63" w:rsidRDefault="00F85735" w:rsidP="00F85735">
      <w:pPr>
        <w:pStyle w:val="Aufgaben"/>
      </w:pPr>
      <w:r w:rsidRPr="00377B63">
        <w:t>Aufgaben:</w:t>
      </w:r>
    </w:p>
    <w:p w14:paraId="79D00D3D" w14:textId="77777777" w:rsidR="00F85735" w:rsidRPr="00377B63" w:rsidRDefault="00F85735" w:rsidP="00F85735">
      <w:pPr>
        <w:pStyle w:val="Aufgabennummeriert"/>
      </w:pPr>
      <w:r w:rsidRPr="00377B63">
        <w:lastRenderedPageBreak/>
        <w:t xml:space="preserve">Recherchiere nach eigener Wahl zu drei im Text genannten Philosophen/Literaten, die aufgrund des Theodizee-Einwandes nicht an Gott glauben können/wollen: Lebensdaten, Lebens- und Wirkorte, wichtigste Bücher. </w:t>
      </w:r>
      <w:r w:rsidRPr="007424D7">
        <w:rPr>
          <w:sz w:val="20"/>
          <w:szCs w:val="18"/>
        </w:rPr>
        <w:t>[Reproduktion]</w:t>
      </w:r>
    </w:p>
    <w:p w14:paraId="3D98E382" w14:textId="77777777" w:rsidR="00F85735" w:rsidRPr="00377B63" w:rsidRDefault="00F85735" w:rsidP="00F85735">
      <w:pPr>
        <w:pStyle w:val="Aufgabennummeriert"/>
      </w:pPr>
      <w:r w:rsidRPr="00377B63">
        <w:t xml:space="preserve">Liste die im Text angeführten Formulierungen (Zitate) der einzelnen Philosophen/Literaten auf, in denen sie sich gegen den Glauben an einen Gott wenden. </w:t>
      </w:r>
      <w:r w:rsidRPr="007424D7">
        <w:rPr>
          <w:sz w:val="20"/>
          <w:szCs w:val="18"/>
        </w:rPr>
        <w:t>[Reproduktion]</w:t>
      </w:r>
    </w:p>
    <w:p w14:paraId="2D5CD6DB" w14:textId="77777777" w:rsidR="00F85735" w:rsidRPr="00377B63" w:rsidRDefault="00F85735" w:rsidP="00F85735">
      <w:pPr>
        <w:pStyle w:val="Aufgabennummeriert"/>
      </w:pPr>
      <w:r w:rsidRPr="00377B63">
        <w:t xml:space="preserve">Stelle die Theodizee-Frage. </w:t>
      </w:r>
      <w:r w:rsidRPr="007424D7">
        <w:rPr>
          <w:sz w:val="20"/>
          <w:szCs w:val="18"/>
        </w:rPr>
        <w:t>[Transfer]</w:t>
      </w:r>
    </w:p>
    <w:p w14:paraId="5DAB6739" w14:textId="77777777" w:rsidR="00F85735" w:rsidRPr="005621ED" w:rsidRDefault="00F85735" w:rsidP="00F85735">
      <w:pPr>
        <w:pStyle w:val="Aufgabennummeriert"/>
      </w:pPr>
      <w:r w:rsidRPr="00377B63">
        <w:t xml:space="preserve">Gib (d)eine Antwort auf die </w:t>
      </w:r>
      <w:proofErr w:type="spellStart"/>
      <w:r w:rsidRPr="00377B63">
        <w:t>Theodizeefrage</w:t>
      </w:r>
      <w:proofErr w:type="spellEnd"/>
      <w:r w:rsidRPr="00377B63">
        <w:t xml:space="preserve">. </w:t>
      </w:r>
      <w:r w:rsidRPr="007424D7">
        <w:rPr>
          <w:sz w:val="20"/>
          <w:szCs w:val="18"/>
        </w:rPr>
        <w:t>[Denken/Reflexion]</w:t>
      </w:r>
    </w:p>
    <w:p w14:paraId="532A14B6" w14:textId="1BDFE284" w:rsidR="00B3685C" w:rsidRPr="00B3685C" w:rsidRDefault="00B3685C" w:rsidP="00F85735">
      <w:pPr>
        <w:spacing w:after="120" w:line="240" w:lineRule="auto"/>
        <w:rPr>
          <w:rFonts w:eastAsia="Calibri" w:cs="Times New Roman"/>
          <w:sz w:val="18"/>
        </w:rPr>
      </w:pPr>
    </w:p>
    <w:sectPr w:rsidR="00B3685C" w:rsidRPr="00B3685C" w:rsidSect="00E33A8F">
      <w:headerReference w:type="default" r:id="rId8"/>
      <w:footerReference w:type="default" r:id="rId9"/>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83417" w14:textId="77777777" w:rsidR="00755D37" w:rsidRDefault="00755D37" w:rsidP="009042F2">
      <w:pPr>
        <w:spacing w:after="0" w:line="240" w:lineRule="auto"/>
      </w:pPr>
      <w:r>
        <w:separator/>
      </w:r>
    </w:p>
  </w:endnote>
  <w:endnote w:type="continuationSeparator" w:id="0">
    <w:p w14:paraId="10B2CC33" w14:textId="77777777" w:rsidR="00755D37" w:rsidRDefault="00755D37"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53C0B27E"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41702C">
              <w:rPr>
                <w:bCs/>
                <w:noProof/>
                <w:sz w:val="16"/>
                <w:szCs w:val="16"/>
              </w:rPr>
              <w:t>Die Theodizeefrage - MB 417</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F8616" w14:textId="77777777" w:rsidR="00755D37" w:rsidRDefault="00755D37" w:rsidP="009042F2">
      <w:pPr>
        <w:spacing w:after="0" w:line="240" w:lineRule="auto"/>
      </w:pPr>
      <w:r>
        <w:separator/>
      </w:r>
    </w:p>
  </w:footnote>
  <w:footnote w:type="continuationSeparator" w:id="0">
    <w:p w14:paraId="417ADA2A" w14:textId="77777777" w:rsidR="00755D37" w:rsidRDefault="00755D37" w:rsidP="009042F2">
      <w:pPr>
        <w:spacing w:after="0" w:line="240" w:lineRule="auto"/>
      </w:pPr>
      <w:r>
        <w:continuationSeparator/>
      </w:r>
    </w:p>
  </w:footnote>
  <w:footnote w:id="1">
    <w:p w14:paraId="13A3E37B" w14:textId="77777777" w:rsidR="00F85735" w:rsidRPr="00377B63" w:rsidRDefault="00F85735" w:rsidP="00F85735">
      <w:pPr>
        <w:pStyle w:val="FunoteDiss"/>
        <w:rPr>
          <w:rFonts w:ascii="Times New Roman" w:hAnsi="Times New Roman"/>
          <w:sz w:val="18"/>
          <w:szCs w:val="18"/>
        </w:rPr>
      </w:pPr>
      <w:r w:rsidRPr="00377B63">
        <w:rPr>
          <w:rStyle w:val="Funotenzeichen"/>
          <w:rFonts w:ascii="Times New Roman" w:hAnsi="Times New Roman"/>
          <w:sz w:val="18"/>
          <w:szCs w:val="18"/>
        </w:rPr>
        <w:footnoteRef/>
      </w:r>
      <w:r w:rsidRPr="00377B63">
        <w:rPr>
          <w:rFonts w:ascii="Times New Roman" w:hAnsi="Times New Roman"/>
          <w:sz w:val="18"/>
          <w:szCs w:val="18"/>
        </w:rPr>
        <w:t xml:space="preserve"> Unterschieden ist diese Form damit vom undogmatischen theoretischen Atheismus. Zu Beginn der Neuzeit, aber auch noch im späten 17. und frühen 18. Jahrhunderts seitens der Deisten in England, wurden diese Argumente noch in der Begrifflichkeit tradierter religiös-theologischer Rede vorgetragen, obwohl mit ‚Gott‘ gemeint war die (autoritätsfreie) ‚Vernunft‘ oder ‚Natur‘. Und auch die Enzyklopädisten in Frankreich (d’Alembert und Diderot) argumentierten in weitgehend theologischer Begrifflichkeit gegen jeden auf Tradition oder Offenbarung gestützten Gottesbegriff, selbst dort, wo sie </w:t>
      </w:r>
      <w:proofErr w:type="gramStart"/>
      <w:r w:rsidRPr="00377B63">
        <w:rPr>
          <w:rFonts w:ascii="Times New Roman" w:hAnsi="Times New Roman"/>
          <w:sz w:val="18"/>
          <w:szCs w:val="18"/>
        </w:rPr>
        <w:t>dezidiert</w:t>
      </w:r>
      <w:proofErr w:type="gramEnd"/>
      <w:r w:rsidRPr="00377B63">
        <w:rPr>
          <w:rFonts w:ascii="Times New Roman" w:hAnsi="Times New Roman"/>
          <w:sz w:val="18"/>
          <w:szCs w:val="18"/>
        </w:rPr>
        <w:t xml:space="preserve"> atheistisch polemisierten (Voltaire). Während in Frankreich erst die Materialisten zu einer ausschließlich vernunftzentrierten atheistischen Sprache fanden (Le Mettrie, Holbach), wurde in Deutschland im Rahmen des sogenannten </w:t>
      </w:r>
      <w:proofErr w:type="spellStart"/>
      <w:r w:rsidRPr="00377B63">
        <w:rPr>
          <w:rFonts w:ascii="Times New Roman" w:hAnsi="Times New Roman"/>
          <w:sz w:val="18"/>
          <w:szCs w:val="18"/>
        </w:rPr>
        <w:t>Pantheismusstreits</w:t>
      </w:r>
      <w:proofErr w:type="spellEnd"/>
      <w:r w:rsidRPr="00377B63">
        <w:rPr>
          <w:rFonts w:ascii="Times New Roman" w:hAnsi="Times New Roman"/>
          <w:sz w:val="18"/>
          <w:szCs w:val="18"/>
        </w:rPr>
        <w:t xml:space="preserve"> von F. H. Jacobi der Vorwurf gegen G. E. Lessing erhoben, in ‚Nathan der Weise‘ (1779) und in ‚Die Erziehung des Menschengeschlechts‘ (1780) einem spinozistischen Pantheismus und damit, so F.H. Jacobi, einem deistischen Atheismus anzuhängen. Moses Mendelssohn hingegen, zugleich Kritiker B. de Spinozas, verteidigte seinen Freund G. E. Lessing gegen diesen Vorwurf.</w:t>
      </w:r>
    </w:p>
  </w:footnote>
  <w:footnote w:id="2">
    <w:p w14:paraId="115A9D22" w14:textId="77777777" w:rsidR="00F85735" w:rsidRPr="00377B63" w:rsidRDefault="00F85735" w:rsidP="00F85735">
      <w:pPr>
        <w:pStyle w:val="Funotentext"/>
        <w:rPr>
          <w:sz w:val="18"/>
          <w:szCs w:val="18"/>
        </w:rPr>
      </w:pPr>
      <w:r w:rsidRPr="00377B63">
        <w:rPr>
          <w:rStyle w:val="Funotenzeichen"/>
          <w:sz w:val="18"/>
          <w:szCs w:val="18"/>
        </w:rPr>
        <w:footnoteRef/>
      </w:r>
      <w:r w:rsidRPr="00377B63">
        <w:rPr>
          <w:sz w:val="18"/>
          <w:szCs w:val="18"/>
        </w:rPr>
        <w:t xml:space="preserve"> L. Feuerbach, </w:t>
      </w:r>
      <w:proofErr w:type="spellStart"/>
      <w:r w:rsidRPr="00377B63">
        <w:rPr>
          <w:sz w:val="18"/>
          <w:szCs w:val="18"/>
        </w:rPr>
        <w:t>WdChr</w:t>
      </w:r>
      <w:proofErr w:type="spellEnd"/>
      <w:r w:rsidRPr="00377B63">
        <w:rPr>
          <w:sz w:val="18"/>
          <w:szCs w:val="18"/>
        </w:rPr>
        <w:t>., Kapitel 21.</w:t>
      </w:r>
    </w:p>
  </w:footnote>
  <w:footnote w:id="3">
    <w:p w14:paraId="5C4AE4B6" w14:textId="77777777" w:rsidR="00F85735" w:rsidRPr="00377B63" w:rsidRDefault="00F85735" w:rsidP="00F85735">
      <w:pPr>
        <w:pStyle w:val="FunoteDiss"/>
        <w:rPr>
          <w:rFonts w:ascii="Times New Roman" w:hAnsi="Times New Roman"/>
          <w:sz w:val="18"/>
          <w:szCs w:val="18"/>
        </w:rPr>
      </w:pPr>
      <w:r w:rsidRPr="00377B63">
        <w:rPr>
          <w:rStyle w:val="Funotenzeichen"/>
          <w:rFonts w:ascii="Times New Roman" w:hAnsi="Times New Roman"/>
          <w:sz w:val="18"/>
          <w:szCs w:val="18"/>
        </w:rPr>
        <w:footnoteRef/>
      </w:r>
      <w:r w:rsidRPr="00377B63">
        <w:rPr>
          <w:rFonts w:ascii="Times New Roman" w:hAnsi="Times New Roman"/>
          <w:sz w:val="18"/>
          <w:szCs w:val="18"/>
        </w:rPr>
        <w:t xml:space="preserve"> K. Marx, Kritik, 378; vgl. ders., Feuerbach.</w:t>
      </w:r>
    </w:p>
  </w:footnote>
  <w:footnote w:id="4">
    <w:p w14:paraId="4034FF45" w14:textId="77777777" w:rsidR="00F85735" w:rsidRPr="00372976" w:rsidRDefault="00F85735" w:rsidP="00F85735">
      <w:pPr>
        <w:pStyle w:val="FunoteDiss"/>
      </w:pPr>
      <w:r w:rsidRPr="00377B63">
        <w:rPr>
          <w:rStyle w:val="Funotenzeichen"/>
          <w:rFonts w:ascii="Times New Roman" w:hAnsi="Times New Roman"/>
          <w:sz w:val="18"/>
          <w:szCs w:val="18"/>
        </w:rPr>
        <w:footnoteRef/>
      </w:r>
      <w:r w:rsidRPr="00377B63">
        <w:rPr>
          <w:rFonts w:ascii="Times New Roman" w:hAnsi="Times New Roman"/>
          <w:sz w:val="18"/>
          <w:szCs w:val="18"/>
        </w:rPr>
        <w:t xml:space="preserve"> Ebd.</w:t>
      </w:r>
    </w:p>
  </w:footnote>
  <w:footnote w:id="5">
    <w:p w14:paraId="4C31DC26" w14:textId="77777777" w:rsidR="00F85735" w:rsidRPr="00377B63" w:rsidRDefault="00F85735" w:rsidP="00F85735">
      <w:pPr>
        <w:pStyle w:val="FunoteDiss"/>
        <w:rPr>
          <w:rFonts w:ascii="Times New Roman" w:hAnsi="Times New Roman"/>
          <w:sz w:val="18"/>
          <w:szCs w:val="18"/>
        </w:rPr>
      </w:pPr>
      <w:r w:rsidRPr="00377B63">
        <w:rPr>
          <w:rStyle w:val="Funotenzeichen"/>
          <w:rFonts w:ascii="Times New Roman" w:hAnsi="Times New Roman"/>
          <w:sz w:val="18"/>
          <w:szCs w:val="18"/>
        </w:rPr>
        <w:footnoteRef/>
      </w:r>
      <w:r w:rsidRPr="00377B63">
        <w:rPr>
          <w:rFonts w:ascii="Times New Roman" w:hAnsi="Times New Roman"/>
          <w:sz w:val="18"/>
          <w:szCs w:val="18"/>
        </w:rPr>
        <w:t xml:space="preserve"> F. Nietzsche, Zarathustra, 31-34.</w:t>
      </w:r>
    </w:p>
  </w:footnote>
  <w:footnote w:id="6">
    <w:p w14:paraId="2FD76EBB" w14:textId="77777777" w:rsidR="00F85735" w:rsidRPr="00377B63" w:rsidRDefault="00F85735" w:rsidP="00F85735">
      <w:pPr>
        <w:pStyle w:val="FunoteDiss"/>
        <w:rPr>
          <w:rFonts w:ascii="Times New Roman" w:hAnsi="Times New Roman"/>
          <w:sz w:val="18"/>
          <w:szCs w:val="18"/>
        </w:rPr>
      </w:pPr>
      <w:r w:rsidRPr="00377B63">
        <w:rPr>
          <w:rStyle w:val="Funotenzeichen"/>
          <w:rFonts w:ascii="Times New Roman" w:hAnsi="Times New Roman"/>
          <w:sz w:val="18"/>
          <w:szCs w:val="18"/>
        </w:rPr>
        <w:footnoteRef/>
      </w:r>
      <w:r w:rsidRPr="00377B63">
        <w:rPr>
          <w:rFonts w:ascii="Times New Roman" w:hAnsi="Times New Roman"/>
          <w:sz w:val="18"/>
          <w:szCs w:val="18"/>
        </w:rPr>
        <w:t xml:space="preserve"> F. Nietzsche, Zarathustra, 31f.</w:t>
      </w:r>
    </w:p>
  </w:footnote>
  <w:footnote w:id="7">
    <w:p w14:paraId="76BFB600" w14:textId="77777777" w:rsidR="00F85735" w:rsidRPr="00377B63" w:rsidRDefault="00F85735" w:rsidP="00F85735">
      <w:pPr>
        <w:pStyle w:val="FunoteDiss"/>
        <w:rPr>
          <w:rFonts w:ascii="Times New Roman" w:hAnsi="Times New Roman"/>
          <w:sz w:val="18"/>
          <w:szCs w:val="18"/>
        </w:rPr>
      </w:pPr>
      <w:r w:rsidRPr="00377B63">
        <w:rPr>
          <w:rStyle w:val="Funotenzeichen"/>
          <w:rFonts w:ascii="Times New Roman" w:hAnsi="Times New Roman"/>
          <w:sz w:val="18"/>
          <w:szCs w:val="18"/>
        </w:rPr>
        <w:footnoteRef/>
      </w:r>
      <w:r w:rsidRPr="00377B63">
        <w:rPr>
          <w:rFonts w:ascii="Times New Roman" w:hAnsi="Times New Roman"/>
          <w:sz w:val="18"/>
          <w:szCs w:val="18"/>
        </w:rPr>
        <w:t xml:space="preserve"> F. Nietzsche, Ecce homo, 369ff.</w:t>
      </w:r>
    </w:p>
  </w:footnote>
  <w:footnote w:id="8">
    <w:p w14:paraId="33B61570" w14:textId="77777777" w:rsidR="00F85735" w:rsidRPr="00377B63" w:rsidRDefault="00F85735" w:rsidP="00F85735">
      <w:pPr>
        <w:pStyle w:val="FunoteDiss"/>
        <w:rPr>
          <w:rFonts w:ascii="Times New Roman" w:hAnsi="Times New Roman"/>
          <w:sz w:val="18"/>
          <w:szCs w:val="18"/>
        </w:rPr>
      </w:pPr>
      <w:r w:rsidRPr="00377B63">
        <w:rPr>
          <w:rStyle w:val="Funotenzeichen"/>
          <w:rFonts w:ascii="Times New Roman" w:hAnsi="Times New Roman"/>
          <w:sz w:val="18"/>
          <w:szCs w:val="18"/>
        </w:rPr>
        <w:footnoteRef/>
      </w:r>
      <w:r w:rsidRPr="00377B63">
        <w:rPr>
          <w:rFonts w:ascii="Times New Roman" w:hAnsi="Times New Roman"/>
          <w:sz w:val="18"/>
          <w:szCs w:val="18"/>
        </w:rPr>
        <w:t xml:space="preserve"> Vgl. R. Dawkins, Regenbogen; ders., Gotteswahn; </w:t>
      </w:r>
      <w:proofErr w:type="spellStart"/>
      <w:r w:rsidRPr="00377B63">
        <w:rPr>
          <w:rFonts w:ascii="Times New Roman" w:hAnsi="Times New Roman"/>
          <w:sz w:val="18"/>
          <w:szCs w:val="18"/>
        </w:rPr>
        <w:t>Ch</w:t>
      </w:r>
      <w:proofErr w:type="spellEnd"/>
      <w:r w:rsidRPr="00377B63">
        <w:rPr>
          <w:rFonts w:ascii="Times New Roman" w:hAnsi="Times New Roman"/>
          <w:sz w:val="18"/>
          <w:szCs w:val="18"/>
        </w:rPr>
        <w:t>. Hitchens, Herr; M. Onfray, Gott.</w:t>
      </w:r>
    </w:p>
  </w:footnote>
  <w:footnote w:id="9">
    <w:p w14:paraId="6B6131D7" w14:textId="77777777" w:rsidR="00F85735" w:rsidRPr="00377B63" w:rsidRDefault="00F85735" w:rsidP="00F85735">
      <w:pPr>
        <w:pStyle w:val="FunoteDiss"/>
        <w:rPr>
          <w:rFonts w:ascii="Times New Roman" w:hAnsi="Times New Roman"/>
          <w:sz w:val="18"/>
          <w:szCs w:val="18"/>
        </w:rPr>
      </w:pPr>
      <w:r w:rsidRPr="00377B63">
        <w:rPr>
          <w:rStyle w:val="Funotenzeichen"/>
          <w:rFonts w:ascii="Times New Roman" w:hAnsi="Times New Roman"/>
          <w:sz w:val="18"/>
          <w:szCs w:val="18"/>
        </w:rPr>
        <w:footnoteRef/>
      </w:r>
      <w:r w:rsidRPr="00377B63">
        <w:rPr>
          <w:rFonts w:ascii="Times New Roman" w:hAnsi="Times New Roman"/>
          <w:sz w:val="18"/>
          <w:szCs w:val="18"/>
        </w:rPr>
        <w:t xml:space="preserve"> K. Marx, Das Kapital III, 828.</w:t>
      </w:r>
    </w:p>
  </w:footnote>
  <w:footnote w:id="10">
    <w:p w14:paraId="0AC2023D" w14:textId="77777777" w:rsidR="00F85735" w:rsidRPr="00372976" w:rsidRDefault="00F85735" w:rsidP="00F85735">
      <w:pPr>
        <w:pStyle w:val="FunoteDiss"/>
      </w:pPr>
      <w:r w:rsidRPr="00377B63">
        <w:rPr>
          <w:rStyle w:val="Funotenzeichen"/>
          <w:rFonts w:ascii="Times New Roman" w:hAnsi="Times New Roman"/>
          <w:sz w:val="18"/>
          <w:szCs w:val="18"/>
        </w:rPr>
        <w:footnoteRef/>
      </w:r>
      <w:r w:rsidRPr="00377B63">
        <w:rPr>
          <w:rFonts w:ascii="Times New Roman" w:hAnsi="Times New Roman"/>
          <w:sz w:val="18"/>
          <w:szCs w:val="18"/>
        </w:rPr>
        <w:t xml:space="preserve"> Iwan </w:t>
      </w:r>
      <w:proofErr w:type="spellStart"/>
      <w:r w:rsidRPr="00377B63">
        <w:rPr>
          <w:rFonts w:ascii="Times New Roman" w:hAnsi="Times New Roman"/>
          <w:sz w:val="18"/>
          <w:szCs w:val="18"/>
        </w:rPr>
        <w:t>Karamasoff</w:t>
      </w:r>
      <w:proofErr w:type="spellEnd"/>
      <w:r w:rsidRPr="00377B63">
        <w:rPr>
          <w:rFonts w:ascii="Times New Roman" w:hAnsi="Times New Roman"/>
          <w:sz w:val="18"/>
          <w:szCs w:val="18"/>
        </w:rPr>
        <w:t>, in: F.M. Dostojewski, Brüder, 400.</w:t>
      </w:r>
    </w:p>
  </w:footnote>
  <w:footnote w:id="11">
    <w:p w14:paraId="4FDC9ED3" w14:textId="77777777" w:rsidR="00F85735" w:rsidRPr="00377B63" w:rsidRDefault="00F85735" w:rsidP="00F85735">
      <w:pPr>
        <w:pStyle w:val="FunoteDiss"/>
        <w:rPr>
          <w:rFonts w:ascii="Times New Roman" w:hAnsi="Times New Roman"/>
          <w:sz w:val="18"/>
          <w:szCs w:val="18"/>
        </w:rPr>
      </w:pPr>
      <w:r w:rsidRPr="00377B63">
        <w:rPr>
          <w:rStyle w:val="Funotenzeichen"/>
          <w:rFonts w:ascii="Times New Roman" w:hAnsi="Times New Roman"/>
          <w:sz w:val="18"/>
          <w:szCs w:val="18"/>
        </w:rPr>
        <w:footnoteRef/>
      </w:r>
      <w:r w:rsidRPr="00377B63">
        <w:rPr>
          <w:rFonts w:ascii="Times New Roman" w:hAnsi="Times New Roman"/>
          <w:sz w:val="18"/>
          <w:szCs w:val="18"/>
        </w:rPr>
        <w:t xml:space="preserve"> Iwan </w:t>
      </w:r>
      <w:proofErr w:type="spellStart"/>
      <w:r w:rsidRPr="00377B63">
        <w:rPr>
          <w:rFonts w:ascii="Times New Roman" w:hAnsi="Times New Roman"/>
          <w:sz w:val="18"/>
          <w:szCs w:val="18"/>
        </w:rPr>
        <w:t>Karamasoff</w:t>
      </w:r>
      <w:proofErr w:type="spellEnd"/>
      <w:r w:rsidRPr="00377B63">
        <w:rPr>
          <w:rFonts w:ascii="Times New Roman" w:hAnsi="Times New Roman"/>
          <w:sz w:val="18"/>
          <w:szCs w:val="18"/>
        </w:rPr>
        <w:t>, in: F.M. Dostojewski, Brüder, 399: „Und was ist das für eine Harmonie, wenn es noch eine Hölle gibt? Ich will verzeihen und umarmen und will nicht, dass noch gelitten werde. Und wenn die Leiden der Kinder zu jener Summe von Leid, die zum Kauf der Wahrheit erforderlich ist, unbedingt hinzukommen müssen, so behaupte ich im Voraus, dass die Wahrheit diesen Preis nicht wert ist.“</w:t>
      </w:r>
    </w:p>
  </w:footnote>
  <w:footnote w:id="12">
    <w:p w14:paraId="5DC5D520" w14:textId="77777777" w:rsidR="00F85735" w:rsidRPr="00377B63" w:rsidRDefault="00F85735" w:rsidP="00F85735">
      <w:pPr>
        <w:pStyle w:val="FunoteDiss"/>
        <w:rPr>
          <w:rFonts w:ascii="Times New Roman" w:hAnsi="Times New Roman"/>
          <w:sz w:val="18"/>
          <w:szCs w:val="18"/>
        </w:rPr>
      </w:pPr>
      <w:r w:rsidRPr="00377B63">
        <w:rPr>
          <w:rStyle w:val="Funotenzeichen"/>
          <w:rFonts w:ascii="Times New Roman" w:hAnsi="Times New Roman"/>
          <w:sz w:val="18"/>
          <w:szCs w:val="18"/>
        </w:rPr>
        <w:footnoteRef/>
      </w:r>
      <w:r w:rsidRPr="00377B63">
        <w:rPr>
          <w:rFonts w:ascii="Times New Roman" w:hAnsi="Times New Roman"/>
          <w:sz w:val="18"/>
          <w:szCs w:val="18"/>
        </w:rPr>
        <w:t xml:space="preserve"> Ebd.</w:t>
      </w:r>
    </w:p>
  </w:footnote>
  <w:footnote w:id="13">
    <w:p w14:paraId="098E099D" w14:textId="77777777" w:rsidR="00F85735" w:rsidRPr="0091596B" w:rsidRDefault="00F85735" w:rsidP="00F85735">
      <w:pPr>
        <w:pStyle w:val="FunoteDiss"/>
      </w:pPr>
      <w:r w:rsidRPr="00377B63">
        <w:rPr>
          <w:rStyle w:val="Funotenzeichen"/>
          <w:rFonts w:ascii="Times New Roman" w:hAnsi="Times New Roman"/>
          <w:sz w:val="18"/>
          <w:szCs w:val="18"/>
        </w:rPr>
        <w:footnoteRef/>
      </w:r>
      <w:r w:rsidRPr="00377B63">
        <w:rPr>
          <w:rFonts w:ascii="Times New Roman" w:hAnsi="Times New Roman"/>
          <w:sz w:val="18"/>
          <w:szCs w:val="18"/>
        </w:rPr>
        <w:t xml:space="preserve"> Bernard </w:t>
      </w:r>
      <w:proofErr w:type="spellStart"/>
      <w:r w:rsidRPr="00377B63">
        <w:rPr>
          <w:rFonts w:ascii="Times New Roman" w:hAnsi="Times New Roman"/>
          <w:sz w:val="18"/>
          <w:szCs w:val="18"/>
        </w:rPr>
        <w:t>Rieux</w:t>
      </w:r>
      <w:proofErr w:type="spellEnd"/>
      <w:r w:rsidRPr="00377B63">
        <w:rPr>
          <w:rFonts w:ascii="Times New Roman" w:hAnsi="Times New Roman"/>
          <w:sz w:val="18"/>
          <w:szCs w:val="18"/>
        </w:rPr>
        <w:t>, in: A. Camus, Pest, 129.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7F5A"/>
    <w:multiLevelType w:val="hybridMultilevel"/>
    <w:tmpl w:val="F72E58C6"/>
    <w:lvl w:ilvl="0" w:tplc="C928920A">
      <w:start w:val="1"/>
      <w:numFmt w:val="bullet"/>
      <w:pStyle w:val="Quellentex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58A1D7C"/>
    <w:multiLevelType w:val="hybridMultilevel"/>
    <w:tmpl w:val="469AF7B2"/>
    <w:lvl w:ilvl="0" w:tplc="A02A0240">
      <w:start w:val="1"/>
      <w:numFmt w:val="decimal"/>
      <w:pStyle w:val="Aufgabennummeriert"/>
      <w:lvlText w:val="%1."/>
      <w:lvlJc w:val="left"/>
      <w:pPr>
        <w:ind w:left="720" w:hanging="360"/>
      </w:pPr>
    </w:lvl>
    <w:lvl w:ilvl="1" w:tplc="162010B8">
      <w:start w:val="1"/>
      <w:numFmt w:val="upperRoman"/>
      <w:lvlText w:val="%2."/>
      <w:lvlJc w:val="left"/>
      <w:pPr>
        <w:ind w:left="1800" w:hanging="720"/>
      </w:pPr>
      <w:rPr>
        <w:rFont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6"/>
  </w:num>
  <w:num w:numId="5">
    <w:abstractNumId w:val="2"/>
  </w:num>
  <w:num w:numId="6">
    <w:abstractNumId w:val="3"/>
  </w:num>
  <w:num w:numId="7">
    <w:abstractNumId w:val="4"/>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530E5"/>
    <w:rsid w:val="000653E3"/>
    <w:rsid w:val="0008119F"/>
    <w:rsid w:val="000A307D"/>
    <w:rsid w:val="000B279E"/>
    <w:rsid w:val="000D5104"/>
    <w:rsid w:val="000E2AB0"/>
    <w:rsid w:val="000F2730"/>
    <w:rsid w:val="00116D67"/>
    <w:rsid w:val="001417AC"/>
    <w:rsid w:val="001437C1"/>
    <w:rsid w:val="001873D9"/>
    <w:rsid w:val="001C6B92"/>
    <w:rsid w:val="001E38EA"/>
    <w:rsid w:val="0020430A"/>
    <w:rsid w:val="002865E0"/>
    <w:rsid w:val="0029037A"/>
    <w:rsid w:val="002A6C58"/>
    <w:rsid w:val="002C5206"/>
    <w:rsid w:val="00312588"/>
    <w:rsid w:val="00326301"/>
    <w:rsid w:val="00391964"/>
    <w:rsid w:val="003A2EFF"/>
    <w:rsid w:val="003A7C4C"/>
    <w:rsid w:val="003B74B8"/>
    <w:rsid w:val="00400920"/>
    <w:rsid w:val="004064A8"/>
    <w:rsid w:val="00412FAA"/>
    <w:rsid w:val="0041702C"/>
    <w:rsid w:val="00441778"/>
    <w:rsid w:val="004544CF"/>
    <w:rsid w:val="004971B9"/>
    <w:rsid w:val="004D10D9"/>
    <w:rsid w:val="005118EC"/>
    <w:rsid w:val="00556DDB"/>
    <w:rsid w:val="005C31E5"/>
    <w:rsid w:val="005D369D"/>
    <w:rsid w:val="005D7F34"/>
    <w:rsid w:val="005F5FA3"/>
    <w:rsid w:val="006017A0"/>
    <w:rsid w:val="0063544C"/>
    <w:rsid w:val="00667FC6"/>
    <w:rsid w:val="006B741C"/>
    <w:rsid w:val="006D7E75"/>
    <w:rsid w:val="00755D37"/>
    <w:rsid w:val="00773F59"/>
    <w:rsid w:val="007D0EAE"/>
    <w:rsid w:val="007E1C18"/>
    <w:rsid w:val="007F771A"/>
    <w:rsid w:val="00812352"/>
    <w:rsid w:val="008826BC"/>
    <w:rsid w:val="008B48FA"/>
    <w:rsid w:val="008B705F"/>
    <w:rsid w:val="008D28EB"/>
    <w:rsid w:val="008D6374"/>
    <w:rsid w:val="008E12AC"/>
    <w:rsid w:val="00902A7C"/>
    <w:rsid w:val="009042F2"/>
    <w:rsid w:val="00907512"/>
    <w:rsid w:val="00914317"/>
    <w:rsid w:val="00945C9C"/>
    <w:rsid w:val="0094772A"/>
    <w:rsid w:val="00951E27"/>
    <w:rsid w:val="009C5B05"/>
    <w:rsid w:val="009C5C04"/>
    <w:rsid w:val="009D32E5"/>
    <w:rsid w:val="00A055CF"/>
    <w:rsid w:val="00A27362"/>
    <w:rsid w:val="00A33F02"/>
    <w:rsid w:val="00A364C6"/>
    <w:rsid w:val="00A51E8F"/>
    <w:rsid w:val="00A52D31"/>
    <w:rsid w:val="00A60BB3"/>
    <w:rsid w:val="00A91067"/>
    <w:rsid w:val="00AE4CC4"/>
    <w:rsid w:val="00AF7758"/>
    <w:rsid w:val="00B3685C"/>
    <w:rsid w:val="00B4666D"/>
    <w:rsid w:val="00B57005"/>
    <w:rsid w:val="00B61565"/>
    <w:rsid w:val="00B868B5"/>
    <w:rsid w:val="00BB7FA8"/>
    <w:rsid w:val="00BD61BE"/>
    <w:rsid w:val="00C10E8C"/>
    <w:rsid w:val="00C34D6B"/>
    <w:rsid w:val="00C3718C"/>
    <w:rsid w:val="00C57168"/>
    <w:rsid w:val="00C64E57"/>
    <w:rsid w:val="00C74B31"/>
    <w:rsid w:val="00D15137"/>
    <w:rsid w:val="00D21343"/>
    <w:rsid w:val="00D2430A"/>
    <w:rsid w:val="00D375E7"/>
    <w:rsid w:val="00D40C56"/>
    <w:rsid w:val="00D51974"/>
    <w:rsid w:val="00D82CF0"/>
    <w:rsid w:val="00DA283C"/>
    <w:rsid w:val="00DB1C57"/>
    <w:rsid w:val="00DB20C8"/>
    <w:rsid w:val="00E02597"/>
    <w:rsid w:val="00E1238B"/>
    <w:rsid w:val="00E33A8F"/>
    <w:rsid w:val="00E63CDC"/>
    <w:rsid w:val="00E9077C"/>
    <w:rsid w:val="00E92B3E"/>
    <w:rsid w:val="00ED7783"/>
    <w:rsid w:val="00EF3FD3"/>
    <w:rsid w:val="00EF6686"/>
    <w:rsid w:val="00F02C6F"/>
    <w:rsid w:val="00F10C0B"/>
    <w:rsid w:val="00F22550"/>
    <w:rsid w:val="00F22D00"/>
    <w:rsid w:val="00F24080"/>
    <w:rsid w:val="00F85735"/>
    <w:rsid w:val="00F92065"/>
    <w:rsid w:val="00FA5C78"/>
    <w:rsid w:val="00FC074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nhideWhenUsed/>
    <w:qFormat/>
    <w:rsid w:val="005C31E5"/>
    <w:pPr>
      <w:spacing w:after="0" w:line="240" w:lineRule="auto"/>
    </w:pPr>
    <w:rPr>
      <w:sz w:val="20"/>
      <w:szCs w:val="20"/>
    </w:rPr>
  </w:style>
  <w:style w:type="character" w:customStyle="1" w:styleId="FunotentextZchn">
    <w:name w:val="Fußnotentext Zchn"/>
    <w:basedOn w:val="Absatz-Standardschriftart"/>
    <w:link w:val="Funotentext"/>
    <w:rsid w:val="005C31E5"/>
    <w:rPr>
      <w:rFonts w:ascii="Times New Roman" w:hAnsi="Times New Roman"/>
      <w:sz w:val="20"/>
      <w:szCs w:val="20"/>
    </w:rPr>
  </w:style>
  <w:style w:type="character" w:styleId="Funotenzeichen">
    <w:name w:val="footnote reference"/>
    <w:basedOn w:val="Absatz-Standardschriftart"/>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styleId="Untertitel">
    <w:name w:val="Subtitle"/>
    <w:basedOn w:val="Standard"/>
    <w:next w:val="Standard"/>
    <w:link w:val="UntertitelZchn"/>
    <w:uiPriority w:val="11"/>
    <w:qFormat/>
    <w:rsid w:val="00F85735"/>
    <w:pPr>
      <w:numPr>
        <w:ilvl w:val="1"/>
      </w:numPr>
      <w:spacing w:after="480"/>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F85735"/>
    <w:rPr>
      <w:rFonts w:ascii="Times New Roman" w:eastAsiaTheme="minorEastAsia" w:hAnsi="Times New Roman"/>
      <w:b/>
      <w:color w:val="5A5A5A" w:themeColor="text1" w:themeTint="A5"/>
      <w:spacing w:val="15"/>
      <w:sz w:val="44"/>
    </w:rPr>
  </w:style>
  <w:style w:type="paragraph" w:customStyle="1" w:styleId="Aufgaben">
    <w:name w:val="Aufgaben"/>
    <w:basedOn w:val="Standard"/>
    <w:link w:val="AufgabenZchn"/>
    <w:qFormat/>
    <w:rsid w:val="00F85735"/>
    <w:pPr>
      <w:spacing w:before="360" w:after="120"/>
    </w:pPr>
    <w:rPr>
      <w:rFonts w:eastAsia="Calibri" w:cs="Times New Roman"/>
      <w:b/>
      <w:bCs/>
      <w:sz w:val="24"/>
      <w:szCs w:val="24"/>
    </w:rPr>
  </w:style>
  <w:style w:type="paragraph" w:customStyle="1" w:styleId="Quelle">
    <w:name w:val="Quelle"/>
    <w:basedOn w:val="Standard"/>
    <w:link w:val="QuelleZchn"/>
    <w:qFormat/>
    <w:rsid w:val="00F85735"/>
    <w:pPr>
      <w:spacing w:before="600" w:after="120"/>
      <w:contextualSpacing/>
    </w:pPr>
    <w:rPr>
      <w:rFonts w:eastAsia="Calibri" w:cs="Times New Roman"/>
      <w:b/>
      <w:sz w:val="18"/>
    </w:rPr>
  </w:style>
  <w:style w:type="character" w:customStyle="1" w:styleId="AufgabenZchn">
    <w:name w:val="Aufgaben Zchn"/>
    <w:basedOn w:val="Absatz-Standardschriftart"/>
    <w:link w:val="Aufgaben"/>
    <w:rsid w:val="00F85735"/>
    <w:rPr>
      <w:rFonts w:ascii="Times New Roman" w:eastAsia="Calibri" w:hAnsi="Times New Roman" w:cs="Times New Roman"/>
      <w:b/>
      <w:bCs/>
      <w:sz w:val="24"/>
      <w:szCs w:val="24"/>
    </w:rPr>
  </w:style>
  <w:style w:type="character" w:customStyle="1" w:styleId="QuelleZchn">
    <w:name w:val="Quelle Zchn"/>
    <w:basedOn w:val="Absatz-Standardschriftart"/>
    <w:link w:val="Quelle"/>
    <w:rsid w:val="00F85735"/>
    <w:rPr>
      <w:rFonts w:ascii="Times New Roman" w:eastAsia="Calibri" w:hAnsi="Times New Roman" w:cs="Times New Roman"/>
      <w:b/>
      <w:sz w:val="18"/>
    </w:rPr>
  </w:style>
  <w:style w:type="paragraph" w:customStyle="1" w:styleId="Quellentext">
    <w:name w:val="Quellentext"/>
    <w:basedOn w:val="Quelle"/>
    <w:link w:val="QuellentextZchn"/>
    <w:qFormat/>
    <w:rsid w:val="00F85735"/>
    <w:pPr>
      <w:numPr>
        <w:numId w:val="9"/>
      </w:numPr>
      <w:spacing w:before="0"/>
      <w:ind w:left="357" w:hanging="357"/>
      <w:contextualSpacing w:val="0"/>
    </w:pPr>
    <w:rPr>
      <w:b w:val="0"/>
    </w:rPr>
  </w:style>
  <w:style w:type="character" w:customStyle="1" w:styleId="QuellentextZchn">
    <w:name w:val="Quellentext Zchn"/>
    <w:basedOn w:val="QuelleZchn"/>
    <w:link w:val="Quellentext"/>
    <w:rsid w:val="00F85735"/>
    <w:rPr>
      <w:rFonts w:ascii="Times New Roman" w:eastAsia="Calibri" w:hAnsi="Times New Roman" w:cs="Times New Roman"/>
      <w:b w:val="0"/>
      <w:sz w:val="18"/>
    </w:rPr>
  </w:style>
  <w:style w:type="paragraph" w:customStyle="1" w:styleId="Aufgabennummeriert">
    <w:name w:val="Aufgaben nummeriert"/>
    <w:basedOn w:val="Standard"/>
    <w:link w:val="AufgabennummeriertZchn"/>
    <w:qFormat/>
    <w:rsid w:val="00F85735"/>
    <w:pPr>
      <w:numPr>
        <w:numId w:val="8"/>
      </w:numPr>
      <w:spacing w:after="120"/>
      <w:ind w:left="284" w:hanging="284"/>
    </w:pPr>
    <w:rPr>
      <w:sz w:val="24"/>
    </w:rPr>
  </w:style>
  <w:style w:type="character" w:customStyle="1" w:styleId="AufgabennummeriertZchn">
    <w:name w:val="Aufgaben nummeriert Zchn"/>
    <w:basedOn w:val="Absatz-Standardschriftart"/>
    <w:link w:val="Aufgabennummeriert"/>
    <w:rsid w:val="00F85735"/>
    <w:rPr>
      <w:rFonts w:ascii="Times New Roman" w:hAnsi="Times New Roman"/>
      <w:sz w:val="24"/>
    </w:rPr>
  </w:style>
  <w:style w:type="paragraph" w:styleId="Textkrper">
    <w:name w:val="Body Text"/>
    <w:basedOn w:val="Standard"/>
    <w:link w:val="TextkrperZchn"/>
    <w:uiPriority w:val="99"/>
    <w:unhideWhenUsed/>
    <w:rsid w:val="00F85735"/>
    <w:pPr>
      <w:spacing w:after="120" w:line="240" w:lineRule="auto"/>
      <w:ind w:right="2098"/>
      <w:jc w:val="both"/>
    </w:pPr>
    <w:rPr>
      <w:rFonts w:ascii="Arial" w:eastAsia="Calibri" w:hAnsi="Arial" w:cs="Times New Roman"/>
      <w:sz w:val="24"/>
    </w:rPr>
  </w:style>
  <w:style w:type="character" w:customStyle="1" w:styleId="TextkrperZchn">
    <w:name w:val="Textkörper Zchn"/>
    <w:basedOn w:val="Absatz-Standardschriftart"/>
    <w:link w:val="Textkrper"/>
    <w:uiPriority w:val="99"/>
    <w:rsid w:val="00F85735"/>
    <w:rPr>
      <w:rFonts w:ascii="Arial" w:eastAsia="Calibri" w:hAnsi="Arial" w:cs="Times New Roman"/>
      <w:sz w:val="24"/>
    </w:rPr>
  </w:style>
  <w:style w:type="paragraph" w:styleId="Textkrper-Erstzeileneinzug">
    <w:name w:val="Body Text First Indent"/>
    <w:basedOn w:val="Textkrper"/>
    <w:link w:val="Textkrper-ErstzeileneinzugZchn"/>
    <w:uiPriority w:val="99"/>
    <w:unhideWhenUsed/>
    <w:rsid w:val="00F85735"/>
    <w:pPr>
      <w:spacing w:line="276" w:lineRule="auto"/>
      <w:ind w:firstLine="210"/>
      <w:jc w:val="left"/>
    </w:pPr>
    <w:rPr>
      <w:rFonts w:ascii="Calibri" w:hAnsi="Calibri"/>
      <w:sz w:val="22"/>
    </w:rPr>
  </w:style>
  <w:style w:type="character" w:customStyle="1" w:styleId="Textkrper-ErstzeileneinzugZchn">
    <w:name w:val="Textkörper-Erstzeileneinzug Zchn"/>
    <w:basedOn w:val="TextkrperZchn"/>
    <w:link w:val="Textkrper-Erstzeileneinzug"/>
    <w:uiPriority w:val="99"/>
    <w:rsid w:val="00F85735"/>
    <w:rPr>
      <w:rFonts w:ascii="Calibri" w:eastAsia="Calibri" w:hAnsi="Calibri" w:cs="Times New Roman"/>
      <w:sz w:val="24"/>
    </w:rPr>
  </w:style>
  <w:style w:type="paragraph" w:customStyle="1" w:styleId="FunoteDiss">
    <w:name w:val="Fußnote Diss"/>
    <w:basedOn w:val="Funotentext"/>
    <w:link w:val="FunoteDissZchn"/>
    <w:autoRedefine/>
    <w:rsid w:val="00F85735"/>
    <w:pPr>
      <w:jc w:val="both"/>
    </w:pPr>
    <w:rPr>
      <w:rFonts w:ascii="Calibri" w:eastAsia="Times New Roman" w:hAnsi="Calibri" w:cs="Times New Roman"/>
      <w:sz w:val="24"/>
      <w:szCs w:val="24"/>
      <w:lang w:eastAsia="de-DE"/>
    </w:rPr>
  </w:style>
  <w:style w:type="character" w:customStyle="1" w:styleId="FunoteDissZchn">
    <w:name w:val="Fußnote Diss Zchn"/>
    <w:basedOn w:val="FunotentextZchn"/>
    <w:link w:val="FunoteDiss"/>
    <w:rsid w:val="00F85735"/>
    <w:rPr>
      <w:rFonts w:ascii="Calibri" w:eastAsia="Times New Roman" w:hAnsi="Calibri"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959</Words>
  <Characters>6044</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5</cp:revision>
  <cp:lastPrinted>2021-11-26T14:02:00Z</cp:lastPrinted>
  <dcterms:created xsi:type="dcterms:W3CDTF">2021-08-19T09:10:00Z</dcterms:created>
  <dcterms:modified xsi:type="dcterms:W3CDTF">2021-11-26T14:02:00Z</dcterms:modified>
</cp:coreProperties>
</file>