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58030C4" w:rsidR="00C64E57" w:rsidRDefault="00DA283C" w:rsidP="00C64E57">
      <w:pPr>
        <w:spacing w:after="0"/>
        <w:rPr>
          <w:sz w:val="20"/>
        </w:rPr>
      </w:pPr>
      <w:r>
        <w:rPr>
          <w:sz w:val="20"/>
        </w:rPr>
        <w:t xml:space="preserve">Materialblatt </w:t>
      </w:r>
      <w:r w:rsidR="00CE3AA9">
        <w:rPr>
          <w:sz w:val="20"/>
        </w:rPr>
        <w:t>410</w:t>
      </w:r>
    </w:p>
    <w:p w14:paraId="441B389F" w14:textId="233662AC" w:rsidR="00E33A8F" w:rsidRDefault="008D6374" w:rsidP="00E33A8F">
      <w:pPr>
        <w:spacing w:after="0" w:line="240" w:lineRule="auto"/>
        <w:rPr>
          <w:sz w:val="20"/>
        </w:rPr>
      </w:pPr>
      <w:r w:rsidRPr="008D6374">
        <w:rPr>
          <w:sz w:val="20"/>
        </w:rPr>
        <w:t>Stichworte:</w:t>
      </w:r>
    </w:p>
    <w:p w14:paraId="231098C6" w14:textId="77777777" w:rsidR="00EF75CC" w:rsidRDefault="00EF75CC" w:rsidP="00EF75CC">
      <w:pPr>
        <w:spacing w:after="0" w:line="240" w:lineRule="auto"/>
        <w:ind w:left="284"/>
        <w:rPr>
          <w:sz w:val="20"/>
        </w:rPr>
      </w:pPr>
      <w:r>
        <w:rPr>
          <w:sz w:val="20"/>
        </w:rPr>
        <w:t>Atheismus</w:t>
      </w:r>
    </w:p>
    <w:p w14:paraId="4EC1B022" w14:textId="77777777" w:rsidR="00EF75CC" w:rsidRDefault="00EF75CC" w:rsidP="00EF75CC">
      <w:pPr>
        <w:spacing w:after="0" w:line="240" w:lineRule="auto"/>
        <w:ind w:left="284"/>
        <w:rPr>
          <w:sz w:val="20"/>
        </w:rPr>
      </w:pPr>
      <w:r>
        <w:rPr>
          <w:sz w:val="20"/>
        </w:rPr>
        <w:t>Freiheit</w:t>
      </w:r>
    </w:p>
    <w:p w14:paraId="778ED7C6" w14:textId="219C24C4" w:rsidR="00EF75CC" w:rsidRDefault="00EF75CC" w:rsidP="00EF75CC">
      <w:pPr>
        <w:spacing w:after="0" w:line="240" w:lineRule="auto"/>
        <w:ind w:left="284"/>
        <w:rPr>
          <w:sz w:val="20"/>
        </w:rPr>
      </w:pPr>
      <w:r>
        <w:rPr>
          <w:sz w:val="20"/>
        </w:rPr>
        <w:t>Gottesbild</w:t>
      </w:r>
    </w:p>
    <w:p w14:paraId="3DF8B573" w14:textId="77777777" w:rsidR="00EF75CC" w:rsidRDefault="00EF75CC" w:rsidP="00EF75CC">
      <w:pPr>
        <w:spacing w:after="0" w:line="240" w:lineRule="auto"/>
        <w:ind w:left="284"/>
        <w:rPr>
          <w:sz w:val="20"/>
        </w:rPr>
      </w:pPr>
      <w:r>
        <w:rPr>
          <w:sz w:val="20"/>
        </w:rPr>
        <w:t>Nietzsche, F.</w:t>
      </w:r>
    </w:p>
    <w:p w14:paraId="0955D39F" w14:textId="77777777" w:rsidR="00EF75CC" w:rsidRDefault="00EF75CC" w:rsidP="00EF75CC">
      <w:pPr>
        <w:spacing w:after="240" w:line="240" w:lineRule="auto"/>
        <w:ind w:left="284"/>
        <w:rPr>
          <w:sz w:val="20"/>
        </w:rPr>
      </w:pPr>
      <w:r>
        <w:rPr>
          <w:sz w:val="20"/>
        </w:rPr>
        <w:t>Wille</w:t>
      </w:r>
    </w:p>
    <w:p w14:paraId="2E3479DA" w14:textId="35AE96D9" w:rsidR="00815082" w:rsidRDefault="00815082" w:rsidP="00815082">
      <w:pPr>
        <w:pStyle w:val="Untertitel"/>
        <w:rPr>
          <w:rFonts w:eastAsia="Calibri"/>
        </w:rPr>
      </w:pPr>
      <w:r>
        <w:rPr>
          <w:rFonts w:eastAsia="Calibri"/>
        </w:rPr>
        <w:t>Einführung in die Philosophie. Friedrich Nietzsche</w:t>
      </w:r>
    </w:p>
    <w:p w14:paraId="2F377B9A" w14:textId="7E8D8866" w:rsidR="00CA18CF" w:rsidRDefault="00CA18CF" w:rsidP="00815082">
      <w:pPr>
        <w:pStyle w:val="berschrift1"/>
        <w:ind w:left="431" w:hanging="431"/>
      </w:pPr>
      <w:bookmarkStart w:id="0" w:name="_Toc291538098"/>
      <w:bookmarkStart w:id="1" w:name="_Toc291538702"/>
      <w:bookmarkStart w:id="2" w:name="_Toc291567592"/>
      <w:bookmarkStart w:id="3" w:name="_Toc291590436"/>
      <w:bookmarkStart w:id="4" w:name="_Toc291670792"/>
      <w:bookmarkStart w:id="5" w:name="_Toc291670951"/>
      <w:bookmarkStart w:id="6" w:name="_Toc291671116"/>
      <w:bookmarkStart w:id="7" w:name="_Toc291671287"/>
      <w:bookmarkStart w:id="8" w:name="_Toc292432207"/>
      <w:bookmarkStart w:id="9" w:name="_Toc292773563"/>
      <w:bookmarkStart w:id="10" w:name="_Toc292773726"/>
      <w:bookmarkStart w:id="11" w:name="_Toc292773910"/>
      <w:bookmarkStart w:id="12" w:name="_Toc293232531"/>
      <w:bookmarkStart w:id="13" w:name="_Toc293236656"/>
      <w:r>
        <w:t>Einführung</w:t>
      </w:r>
    </w:p>
    <w:p w14:paraId="16B6BFDF" w14:textId="3B8DDE21" w:rsidR="00CA18CF" w:rsidRPr="00EF75CC" w:rsidRDefault="005E73DC" w:rsidP="00CA18CF">
      <w:pPr>
        <w:rPr>
          <w:sz w:val="22"/>
          <w:szCs w:val="18"/>
        </w:rPr>
      </w:pPr>
      <w:hyperlink r:id="rId8" w:history="1">
        <w:r w:rsidR="00CA18CF" w:rsidRPr="00EF75CC">
          <w:rPr>
            <w:rStyle w:val="Hyperlink"/>
            <w:sz w:val="22"/>
            <w:szCs w:val="18"/>
          </w:rPr>
          <w:t>https://www.christophthoma.eu/wissenschaft/postphilosophie/willens-selbst-friedrich-nietzsche/</w:t>
        </w:r>
      </w:hyperlink>
    </w:p>
    <w:p w14:paraId="2E335BEA" w14:textId="1C20BE76" w:rsidR="00815082" w:rsidRPr="00071438" w:rsidRDefault="00815082" w:rsidP="00815082">
      <w:pPr>
        <w:pStyle w:val="berschrift1"/>
        <w:ind w:left="431" w:hanging="431"/>
      </w:pPr>
      <w:r w:rsidRPr="00071438">
        <w:t>Überblick</w:t>
      </w:r>
      <w:bookmarkEnd w:id="0"/>
      <w:bookmarkEnd w:id="1"/>
      <w:bookmarkEnd w:id="2"/>
      <w:bookmarkEnd w:id="3"/>
      <w:bookmarkEnd w:id="4"/>
      <w:bookmarkEnd w:id="5"/>
      <w:bookmarkEnd w:id="6"/>
      <w:bookmarkEnd w:id="7"/>
      <w:bookmarkEnd w:id="8"/>
      <w:bookmarkEnd w:id="9"/>
      <w:bookmarkEnd w:id="10"/>
      <w:bookmarkEnd w:id="11"/>
      <w:bookmarkEnd w:id="12"/>
      <w:bookmarkEnd w:id="13"/>
    </w:p>
    <w:p w14:paraId="0359F0EF" w14:textId="3D47A72C" w:rsidR="00815082" w:rsidRPr="00071438" w:rsidRDefault="00815082" w:rsidP="00815082">
      <w:pPr>
        <w:pStyle w:val="Textkrper"/>
        <w:spacing w:line="360" w:lineRule="auto"/>
        <w:ind w:right="567"/>
        <w:rPr>
          <w:rFonts w:ascii="Times New Roman" w:hAnsi="Times New Roman"/>
          <w:szCs w:val="24"/>
        </w:rPr>
      </w:pPr>
      <w:r w:rsidRPr="00071438">
        <w:rPr>
          <w:rFonts w:ascii="Times New Roman" w:hAnsi="Times New Roman"/>
          <w:szCs w:val="24"/>
        </w:rPr>
        <w:t>Als prinzipieller Antipode zum intellektualistischen Optimismus Kants – also zum Rekurs al</w:t>
      </w:r>
      <w:r>
        <w:rPr>
          <w:rFonts w:ascii="Times New Roman" w:hAnsi="Times New Roman"/>
          <w:szCs w:val="24"/>
        </w:rPr>
        <w:t xml:space="preserve">lein auf die Vernunftbegabung </w:t>
      </w:r>
      <w:r w:rsidRPr="00071438">
        <w:rPr>
          <w:rFonts w:ascii="Times New Roman" w:hAnsi="Times New Roman"/>
          <w:szCs w:val="24"/>
        </w:rPr>
        <w:t xml:space="preserve">(und damit auf die Freiheit) des Menschen als der einzig maßgeblichen Norm menschlichen </w:t>
      </w:r>
      <w:r>
        <w:rPr>
          <w:rFonts w:ascii="Times New Roman" w:hAnsi="Times New Roman"/>
          <w:szCs w:val="24"/>
        </w:rPr>
        <w:t xml:space="preserve">Handelns </w:t>
      </w:r>
      <w:r w:rsidRPr="00071438">
        <w:rPr>
          <w:rFonts w:ascii="Times New Roman" w:hAnsi="Times New Roman"/>
          <w:szCs w:val="24"/>
        </w:rPr>
        <w:t>– formuliert Nietzsche seine Kritik an Geschichte und Gegenwart des Christentums als eine Kritik</w:t>
      </w:r>
      <w:r>
        <w:rPr>
          <w:rFonts w:ascii="Times New Roman" w:hAnsi="Times New Roman"/>
          <w:szCs w:val="24"/>
        </w:rPr>
        <w:t xml:space="preserve"> </w:t>
      </w:r>
      <w:r w:rsidRPr="00071438">
        <w:rPr>
          <w:rFonts w:ascii="Times New Roman" w:hAnsi="Times New Roman"/>
          <w:szCs w:val="24"/>
        </w:rPr>
        <w:t xml:space="preserve">an diesem </w:t>
      </w:r>
      <w:proofErr w:type="spellStart"/>
      <w:r w:rsidRPr="00071438">
        <w:rPr>
          <w:rFonts w:ascii="Times New Roman" w:hAnsi="Times New Roman"/>
          <w:szCs w:val="24"/>
        </w:rPr>
        <w:t>Kantschen</w:t>
      </w:r>
      <w:proofErr w:type="spellEnd"/>
      <w:r w:rsidRPr="00071438">
        <w:rPr>
          <w:rFonts w:ascii="Times New Roman" w:hAnsi="Times New Roman"/>
          <w:szCs w:val="24"/>
        </w:rPr>
        <w:t xml:space="preserve"> Vernunftoptimismus</w:t>
      </w:r>
      <w:r>
        <w:rPr>
          <w:rFonts w:ascii="Times New Roman" w:hAnsi="Times New Roman"/>
          <w:szCs w:val="24"/>
        </w:rPr>
        <w:t xml:space="preserve">, an dessen Stelle er den </w:t>
      </w:r>
      <w:r w:rsidRPr="00071438">
        <w:rPr>
          <w:rFonts w:ascii="Times New Roman" w:hAnsi="Times New Roman"/>
          <w:szCs w:val="24"/>
        </w:rPr>
        <w:t>menschlichen Willen</w:t>
      </w:r>
      <w:r>
        <w:rPr>
          <w:rFonts w:ascii="Times New Roman" w:hAnsi="Times New Roman"/>
          <w:szCs w:val="24"/>
        </w:rPr>
        <w:t xml:space="preserve"> setzt</w:t>
      </w:r>
      <w:r w:rsidRPr="00071438">
        <w:rPr>
          <w:rFonts w:ascii="Times New Roman" w:hAnsi="Times New Roman"/>
          <w:szCs w:val="24"/>
        </w:rPr>
        <w:t>: Nietzsche installiert einen Willensbegriff, in dem der Wille unter Verzicht auf jeglichen Wahrheitsanspruch</w:t>
      </w:r>
      <w:r w:rsidRPr="00815082">
        <w:rPr>
          <w:rFonts w:ascii="Times New Roman" w:hAnsi="Times New Roman"/>
          <w:szCs w:val="24"/>
        </w:rPr>
        <w:t xml:space="preserve"> </w:t>
      </w:r>
      <w:r w:rsidRPr="00071438">
        <w:rPr>
          <w:rFonts w:ascii="Times New Roman" w:hAnsi="Times New Roman"/>
          <w:szCs w:val="24"/>
        </w:rPr>
        <w:t xml:space="preserve">agiert, </w:t>
      </w:r>
      <w:r>
        <w:rPr>
          <w:rFonts w:ascii="Times New Roman" w:hAnsi="Times New Roman"/>
          <w:szCs w:val="24"/>
        </w:rPr>
        <w:t xml:space="preserve">im Verzicht </w:t>
      </w:r>
      <w:r w:rsidRPr="00071438">
        <w:rPr>
          <w:rFonts w:ascii="Times New Roman" w:hAnsi="Times New Roman"/>
          <w:szCs w:val="24"/>
        </w:rPr>
        <w:t>auf jede Geltungsinstanz, auf jede (sogar) kritische Vernunft oder gar auf eine reine Vernunft Kants. An die Stelle solcher Bezüge setzt Nietzsche – nichts. Sein Willensbegriff ist derjenige eines rein selbstbezogenen Willens, eines ‚Willen zur Macht‘</w:t>
      </w:r>
      <w:r>
        <w:rPr>
          <w:rFonts w:ascii="Times New Roman" w:hAnsi="Times New Roman"/>
          <w:szCs w:val="24"/>
        </w:rPr>
        <w:t>, zB jenes Willens des</w:t>
      </w:r>
      <w:r w:rsidRPr="00071438">
        <w:rPr>
          <w:rFonts w:ascii="Times New Roman" w:hAnsi="Times New Roman"/>
          <w:szCs w:val="24"/>
        </w:rPr>
        <w:t xml:space="preserve"> ‚</w:t>
      </w:r>
      <w:proofErr w:type="gramStart"/>
      <w:r w:rsidRPr="00071438">
        <w:rPr>
          <w:rFonts w:ascii="Times New Roman" w:hAnsi="Times New Roman"/>
          <w:szCs w:val="24"/>
        </w:rPr>
        <w:t>tollen</w:t>
      </w:r>
      <w:proofErr w:type="gramEnd"/>
      <w:r w:rsidRPr="00071438">
        <w:rPr>
          <w:rFonts w:ascii="Times New Roman" w:hAnsi="Times New Roman"/>
          <w:szCs w:val="24"/>
        </w:rPr>
        <w:t xml:space="preserve"> Menschen‘ </w:t>
      </w:r>
      <w:r>
        <w:rPr>
          <w:rFonts w:ascii="Times New Roman" w:hAnsi="Times New Roman"/>
          <w:szCs w:val="24"/>
        </w:rPr>
        <w:t>in der gleichnamigen Parabel Nietzsches</w:t>
      </w:r>
      <w:r w:rsidRPr="00071438">
        <w:rPr>
          <w:rFonts w:ascii="Times New Roman" w:hAnsi="Times New Roman"/>
          <w:szCs w:val="24"/>
        </w:rPr>
        <w:t>.</w:t>
      </w:r>
      <w:r w:rsidRPr="00071438">
        <w:rPr>
          <w:rStyle w:val="Funotenzeichen"/>
          <w:rFonts w:ascii="Times New Roman" w:hAnsi="Times New Roman"/>
          <w:szCs w:val="24"/>
        </w:rPr>
        <w:footnoteReference w:id="1"/>
      </w:r>
    </w:p>
    <w:p w14:paraId="2C7CBAE5" w14:textId="66DC04C9" w:rsidR="00815082" w:rsidRDefault="00815082" w:rsidP="00815082">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 xml:space="preserve">‚Toll‘ ist dieser Mensch insofern, als dass er von jeglicher Begrenzung seines Tuns und Wollens durch externe Größen absieht und absehen kann: Er verzichtet auf die </w:t>
      </w:r>
      <w:r w:rsidRPr="00071438">
        <w:rPr>
          <w:rFonts w:ascii="Times New Roman" w:hAnsi="Times New Roman"/>
          <w:i/>
          <w:sz w:val="24"/>
          <w:szCs w:val="24"/>
        </w:rPr>
        <w:t>kulturell-geschichtlich</w:t>
      </w:r>
      <w:r w:rsidRPr="00071438">
        <w:rPr>
          <w:rFonts w:ascii="Times New Roman" w:hAnsi="Times New Roman"/>
          <w:sz w:val="24"/>
          <w:szCs w:val="24"/>
        </w:rPr>
        <w:t xml:space="preserve"> verankerten Legitimationsinstanzen ‚Kirche‘, ‚Staat‘ und ‚Religion‘, und er verzichtet auf die </w:t>
      </w:r>
      <w:r w:rsidRPr="00071438">
        <w:rPr>
          <w:rFonts w:ascii="Times New Roman" w:hAnsi="Times New Roman"/>
          <w:i/>
          <w:sz w:val="24"/>
          <w:szCs w:val="24"/>
        </w:rPr>
        <w:t>rationalen</w:t>
      </w:r>
      <w:r w:rsidRPr="00071438">
        <w:rPr>
          <w:rFonts w:ascii="Times New Roman" w:hAnsi="Times New Roman"/>
          <w:sz w:val="24"/>
          <w:szCs w:val="24"/>
        </w:rPr>
        <w:t xml:space="preserve"> Legitimationsinstanzen ‚Vernunft‘ bzw. ‚Philosophie‘ oder ‚Theologie‘. Daher ist ein solch „toller Mensch“ im Sinne Nietzsches überhaupt erst ein freier Mensch. Und als eben dieser verkündet er den ‚Tod Gottes‘, soll </w:t>
      </w:r>
      <w:r w:rsidRPr="00071438">
        <w:rPr>
          <w:rFonts w:ascii="Times New Roman" w:hAnsi="Times New Roman"/>
          <w:sz w:val="24"/>
          <w:szCs w:val="24"/>
        </w:rPr>
        <w:lastRenderedPageBreak/>
        <w:t>heißen: Er verkündet den Ausfall je</w:t>
      </w:r>
      <w:r>
        <w:rPr>
          <w:rFonts w:ascii="Times New Roman" w:hAnsi="Times New Roman"/>
          <w:sz w:val="24"/>
          <w:szCs w:val="24"/>
        </w:rPr>
        <w:t>d</w:t>
      </w:r>
      <w:r w:rsidRPr="00071438">
        <w:rPr>
          <w:rFonts w:ascii="Times New Roman" w:hAnsi="Times New Roman"/>
          <w:sz w:val="24"/>
          <w:szCs w:val="24"/>
        </w:rPr>
        <w:t>er absoluten, je</w:t>
      </w:r>
      <w:r>
        <w:rPr>
          <w:rFonts w:ascii="Times New Roman" w:hAnsi="Times New Roman"/>
          <w:sz w:val="24"/>
          <w:szCs w:val="24"/>
        </w:rPr>
        <w:t>d</w:t>
      </w:r>
      <w:r w:rsidRPr="00071438">
        <w:rPr>
          <w:rFonts w:ascii="Times New Roman" w:hAnsi="Times New Roman"/>
          <w:sz w:val="24"/>
          <w:szCs w:val="24"/>
        </w:rPr>
        <w:t>er u</w:t>
      </w:r>
      <w:r>
        <w:rPr>
          <w:rFonts w:ascii="Times New Roman" w:hAnsi="Times New Roman"/>
          <w:sz w:val="24"/>
          <w:szCs w:val="24"/>
        </w:rPr>
        <w:t xml:space="preserve">nbedingten, jeder </w:t>
      </w:r>
      <w:r w:rsidRPr="00071438">
        <w:rPr>
          <w:rFonts w:ascii="Times New Roman" w:hAnsi="Times New Roman"/>
          <w:sz w:val="24"/>
          <w:szCs w:val="24"/>
        </w:rPr>
        <w:t>vorau</w:t>
      </w:r>
      <w:r>
        <w:rPr>
          <w:rFonts w:ascii="Times New Roman" w:hAnsi="Times New Roman"/>
          <w:sz w:val="24"/>
          <w:szCs w:val="24"/>
        </w:rPr>
        <w:t xml:space="preserve">ssetzten </w:t>
      </w:r>
      <w:r w:rsidRPr="00071438">
        <w:rPr>
          <w:rFonts w:ascii="Times New Roman" w:hAnsi="Times New Roman"/>
          <w:sz w:val="24"/>
          <w:szCs w:val="24"/>
        </w:rPr>
        <w:t xml:space="preserve">Instanz unseres Denkens und Handelns; er fordert auf, </w:t>
      </w:r>
      <w:proofErr w:type="gramStart"/>
      <w:r w:rsidRPr="00071438">
        <w:rPr>
          <w:rFonts w:ascii="Times New Roman" w:hAnsi="Times New Roman"/>
          <w:sz w:val="24"/>
          <w:szCs w:val="24"/>
        </w:rPr>
        <w:t>das</w:t>
      </w:r>
      <w:proofErr w:type="gramEnd"/>
      <w:r w:rsidRPr="00071438">
        <w:rPr>
          <w:rFonts w:ascii="Times New Roman" w:hAnsi="Times New Roman"/>
          <w:sz w:val="24"/>
          <w:szCs w:val="24"/>
        </w:rPr>
        <w:t xml:space="preserve"> im Menschen angesiedelte Bedürfnis nach einer solchen Instanz abzuwehren, zu überwinden, um so als ‚Übermensch‘ (dies Nietzsches dann folgende Weiterentwicklung des nämlichen Motives im ‚Zarathustra‘, 1883-1885) die höhere Stufe des Menschseins erklimmen</w:t>
      </w:r>
      <w:r>
        <w:rPr>
          <w:rFonts w:ascii="Times New Roman" w:hAnsi="Times New Roman"/>
          <w:sz w:val="24"/>
          <w:szCs w:val="24"/>
        </w:rPr>
        <w:t xml:space="preserve"> zu können</w:t>
      </w:r>
      <w:r w:rsidRPr="00071438">
        <w:rPr>
          <w:rFonts w:ascii="Times New Roman" w:hAnsi="Times New Roman"/>
          <w:sz w:val="24"/>
          <w:szCs w:val="24"/>
        </w:rPr>
        <w:t>.</w:t>
      </w:r>
    </w:p>
    <w:p w14:paraId="481AB443" w14:textId="77777777" w:rsidR="00815082" w:rsidRDefault="00815082" w:rsidP="00815082">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Für Nietzsche ist klar: Gegen die Theologen, v.a. aber gegen all jene, die als Atheisten einfachhin die Existenz Gottes leugnen, ohne sich der Konsequenzen eines solchen Todes Gottes (d.h. der Geburt des Atheismus) im Klaren zu sein, muss ins Bewusstsein gerufen werden die Größe und die Schwere der Aufgabe, als Mensch zu leben und leben zu wollen. Als Mensch nämlich zu leben, ohne eine derartige absolute Legitimationsinstanz des eigenen Denkens und Handelns anführen zu können. Gottes Tod zu erkennen, zu bejahen und zu wollen – das ist gleichbedeutend damit, die trostlose Leere des ‚ausgetrunkenen Meeres‘, den aussichtlosen Lebensraum des ‚weggewischten Horizontes‘, das bodenlose Nichts der ‚von der Sonne losgeketteten Erde‘ zu erkennen, zu bejahen und zu wollen.</w:t>
      </w:r>
    </w:p>
    <w:p w14:paraId="43825CB6" w14:textId="77777777" w:rsidR="00815082" w:rsidRDefault="00815082" w:rsidP="00815082">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 xml:space="preserve">Im Rahmen der modernen Theorie der Sprechakte (Austin) können wir Nietzsches Rede vom </w:t>
      </w:r>
      <w:proofErr w:type="gramStart"/>
      <w:r w:rsidRPr="00071438">
        <w:rPr>
          <w:rFonts w:ascii="Times New Roman" w:hAnsi="Times New Roman"/>
          <w:sz w:val="24"/>
          <w:szCs w:val="24"/>
        </w:rPr>
        <w:t>tollen</w:t>
      </w:r>
      <w:proofErr w:type="gramEnd"/>
      <w:r w:rsidRPr="00071438">
        <w:rPr>
          <w:rFonts w:ascii="Times New Roman" w:hAnsi="Times New Roman"/>
          <w:sz w:val="24"/>
          <w:szCs w:val="24"/>
        </w:rPr>
        <w:t xml:space="preserve"> Menschen als ‚performativen Sprechakt‘ einordnen, als einen Sprechakt also, der ‚bewirkt was er bezeichnet‘: Die Zuhörer seiner Rede, seiner Parabel ‚vom tollen Menschen‘, sollen das Erschreckende der Nachricht real erfahrbar gemacht bekommen. Die Nachricht (die Rede) ist nicht nur Nachricht über etwas (über das Erschrecken angesichts des Todes Gottes), sondern als </w:t>
      </w:r>
      <w:proofErr w:type="gramStart"/>
      <w:r w:rsidRPr="00071438">
        <w:rPr>
          <w:rFonts w:ascii="Times New Roman" w:hAnsi="Times New Roman"/>
          <w:sz w:val="24"/>
          <w:szCs w:val="24"/>
        </w:rPr>
        <w:t>solche Teil</w:t>
      </w:r>
      <w:proofErr w:type="gramEnd"/>
      <w:r w:rsidRPr="00071438">
        <w:rPr>
          <w:rFonts w:ascii="Times New Roman" w:hAnsi="Times New Roman"/>
          <w:sz w:val="24"/>
          <w:szCs w:val="24"/>
        </w:rPr>
        <w:t xml:space="preserve"> des Schreckens (Teil des Todes), den sie verkündet.</w:t>
      </w:r>
    </w:p>
    <w:p w14:paraId="7B2B7AF2" w14:textId="77777777" w:rsidR="00815082" w:rsidRPr="00071438" w:rsidRDefault="00815082" w:rsidP="00815082">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Nietzsche weiß aber auch, dass seine Rede zu früh kommt, dass die Nachricht ‚noch nicht verstanden‘, dass der Schrecken noch nicht erlebt werden kann. Die Zeit ist ‚noch nicht reif‘ dafür. Das Zu-Göttern-Werden als Motiv der Parabel vom tollen Menschen in der ‚Fröhlichen Wissenschaft‘ (1882) wird später in den vier Teilen des ‚Zarathustra‘ (1883-1885) durch das Motiv des Übermenschen abgelöst, vervollständigt.</w:t>
      </w:r>
    </w:p>
    <w:p w14:paraId="4E188508" w14:textId="77777777" w:rsidR="00815082" w:rsidRDefault="00815082" w:rsidP="00815082">
      <w:pPr>
        <w:pStyle w:val="berschrift1"/>
        <w:ind w:left="431" w:hanging="431"/>
      </w:pPr>
      <w:bookmarkStart w:id="14" w:name="_Toc288242470"/>
      <w:bookmarkStart w:id="15" w:name="_Toc289621070"/>
      <w:bookmarkStart w:id="16" w:name="_Toc290007774"/>
      <w:bookmarkStart w:id="17" w:name="_Toc290185938"/>
      <w:bookmarkStart w:id="18" w:name="_Toc290188960"/>
      <w:bookmarkStart w:id="19" w:name="_Toc290189116"/>
      <w:bookmarkStart w:id="20" w:name="_Toc290213456"/>
      <w:bookmarkStart w:id="21" w:name="_Toc290226127"/>
      <w:bookmarkStart w:id="22" w:name="_Toc291538099"/>
      <w:bookmarkStart w:id="23" w:name="_Toc291538703"/>
      <w:bookmarkStart w:id="24" w:name="_Toc291567593"/>
      <w:bookmarkStart w:id="25" w:name="_Toc291590437"/>
      <w:bookmarkStart w:id="26" w:name="_Toc291670793"/>
      <w:bookmarkStart w:id="27" w:name="_Toc291670952"/>
      <w:bookmarkStart w:id="28" w:name="_Toc291671117"/>
      <w:bookmarkStart w:id="29" w:name="_Toc291671288"/>
      <w:bookmarkStart w:id="30" w:name="_Ref292372267"/>
      <w:bookmarkStart w:id="31" w:name="_Ref292372274"/>
      <w:bookmarkStart w:id="32" w:name="_Toc292432208"/>
      <w:bookmarkStart w:id="33" w:name="_Toc292773564"/>
      <w:bookmarkStart w:id="34" w:name="_Toc292773727"/>
      <w:bookmarkStart w:id="35" w:name="_Toc292773911"/>
      <w:bookmarkStart w:id="36" w:name="_Toc293232532"/>
      <w:bookmarkStart w:id="37" w:name="_Toc293236657"/>
      <w:r w:rsidRPr="00071438">
        <w:t>Text</w:t>
      </w:r>
      <w:r>
        <w:t>e</w:t>
      </w:r>
    </w:p>
    <w:p w14:paraId="1DB46C22" w14:textId="77777777" w:rsidR="00815082" w:rsidRPr="00071438" w:rsidRDefault="00815082" w:rsidP="00815082">
      <w:pPr>
        <w:pStyle w:val="berschrift2"/>
        <w:spacing w:before="480"/>
        <w:ind w:left="578" w:hanging="578"/>
      </w:pPr>
      <w:r>
        <w:t xml:space="preserve">Friedrich Nietzsche: </w:t>
      </w:r>
      <w:r w:rsidRPr="00071438">
        <w:t xml:space="preserve">Der </w:t>
      </w:r>
      <w:proofErr w:type="gramStart"/>
      <w:r w:rsidRPr="00071438">
        <w:t>tolle</w:t>
      </w:r>
      <w:proofErr w:type="gramEnd"/>
      <w:r w:rsidRPr="00071438">
        <w:t xml:space="preserve"> Mensch</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DA5213B" w14:textId="77777777" w:rsidR="00815082" w:rsidRPr="00071438" w:rsidRDefault="00815082" w:rsidP="00815082">
      <w:pPr>
        <w:pStyle w:val="Textkrper"/>
        <w:spacing w:line="360" w:lineRule="auto"/>
        <w:ind w:right="567"/>
        <w:rPr>
          <w:rFonts w:ascii="Times New Roman" w:hAnsi="Times New Roman"/>
          <w:szCs w:val="24"/>
        </w:rPr>
      </w:pPr>
      <w:r w:rsidRPr="00071438">
        <w:rPr>
          <w:rFonts w:ascii="Times New Roman" w:hAnsi="Times New Roman"/>
          <w:szCs w:val="24"/>
        </w:rPr>
        <w:t xml:space="preserve">Habt ihr nicht von jenem tollen Menschen gehört, der </w:t>
      </w:r>
      <w:proofErr w:type="gramStart"/>
      <w:r w:rsidRPr="00071438">
        <w:rPr>
          <w:rFonts w:ascii="Times New Roman" w:hAnsi="Times New Roman"/>
          <w:szCs w:val="24"/>
        </w:rPr>
        <w:t>am hellen Vormittage</w:t>
      </w:r>
      <w:proofErr w:type="gramEnd"/>
      <w:r w:rsidRPr="00071438">
        <w:rPr>
          <w:rFonts w:ascii="Times New Roman" w:hAnsi="Times New Roman"/>
          <w:szCs w:val="24"/>
        </w:rPr>
        <w:t xml:space="preserve"> eine Laterne anzündete, auf den Markt lief und unaufhörlich schrie: „Ich suche Gott! Ich suche Gott!“ </w:t>
      </w:r>
      <w:r w:rsidRPr="00071438">
        <w:rPr>
          <w:rFonts w:ascii="Times New Roman" w:hAnsi="Times New Roman"/>
          <w:szCs w:val="24"/>
        </w:rPr>
        <w:lastRenderedPageBreak/>
        <w:t xml:space="preserve">– Da dort gerade viele von Denen </w:t>
      </w:r>
      <w:proofErr w:type="gramStart"/>
      <w:r w:rsidRPr="00071438">
        <w:rPr>
          <w:rFonts w:ascii="Times New Roman" w:hAnsi="Times New Roman"/>
          <w:szCs w:val="24"/>
        </w:rPr>
        <w:t>zusammen standen</w:t>
      </w:r>
      <w:proofErr w:type="gramEnd"/>
      <w:r w:rsidRPr="00071438">
        <w:rPr>
          <w:rFonts w:ascii="Times New Roman" w:hAnsi="Times New Roman"/>
          <w:szCs w:val="24"/>
        </w:rPr>
        <w:t xml:space="preserve">, welche nicht an Gott glaubten, so erregte er ein großes Gelächter. Ist er denn verloren gegangen? Sagte der </w:t>
      </w:r>
      <w:proofErr w:type="gramStart"/>
      <w:r w:rsidRPr="00071438">
        <w:rPr>
          <w:rFonts w:ascii="Times New Roman" w:hAnsi="Times New Roman"/>
          <w:szCs w:val="24"/>
        </w:rPr>
        <w:t>Eine</w:t>
      </w:r>
      <w:proofErr w:type="gramEnd"/>
      <w:r w:rsidRPr="00071438">
        <w:rPr>
          <w:rFonts w:ascii="Times New Roman" w:hAnsi="Times New Roman"/>
          <w:szCs w:val="24"/>
        </w:rPr>
        <w:t xml:space="preserve">. Hat er sich verlaufen wie ein Kind? Sagte der </w:t>
      </w:r>
      <w:proofErr w:type="gramStart"/>
      <w:r w:rsidRPr="00071438">
        <w:rPr>
          <w:rFonts w:ascii="Times New Roman" w:hAnsi="Times New Roman"/>
          <w:szCs w:val="24"/>
        </w:rPr>
        <w:t>Andere</w:t>
      </w:r>
      <w:proofErr w:type="gramEnd"/>
      <w:r w:rsidRPr="00071438">
        <w:rPr>
          <w:rFonts w:ascii="Times New Roman" w:hAnsi="Times New Roman"/>
          <w:szCs w:val="24"/>
        </w:rPr>
        <w:t xml:space="preserve">. Oder hält er sich versteckt? Fürchtet er sich vor uns? Ist er zu Schiff gegangen? Ausgewandert? – so schrien und lachten sie durcheinander. Der </w:t>
      </w:r>
      <w:proofErr w:type="gramStart"/>
      <w:r w:rsidRPr="00071438">
        <w:rPr>
          <w:rFonts w:ascii="Times New Roman" w:hAnsi="Times New Roman"/>
          <w:szCs w:val="24"/>
        </w:rPr>
        <w:t>tolle</w:t>
      </w:r>
      <w:proofErr w:type="gramEnd"/>
      <w:r w:rsidRPr="00071438">
        <w:rPr>
          <w:rFonts w:ascii="Times New Roman" w:hAnsi="Times New Roman"/>
          <w:szCs w:val="24"/>
        </w:rPr>
        <w:t xml:space="preserve"> Mensch sprang mitten unter sie und durchbohrte sie mit seinen Blicken. „Wohin ist Gott? Rief er, ich will es euch sagen! Wir haben ihn getötet, – ihr und ich! Wir alle sind seine Mörder! Aber wie haben wir dies gemacht? Wie vermochten wir das Meer auszutrinken? Wer gab uns den Schwamm, um den ganzen Horizont wegzuwischen? Was taten wir, als wir diese Erde von ihrer Sonne losketteten? Wohin bewegt sie sich nun? Wohin bewegen wir uns? Fort von allen Sonnen? Stürzen wir nicht fortwährend? Und rückwärts, vorwärts, nach allen Seiten? Gibt es noch ein Oben und ein Unten? Irren wir nicht wie durch ein unendliches Nichts? Haucht uns nicht der leere Raum an? Ist es nicht kälter geworden? Kommt nicht immerfort die Nacht und mehr Nacht? Müssen nicht Laternen </w:t>
      </w:r>
      <w:proofErr w:type="gramStart"/>
      <w:r w:rsidRPr="00071438">
        <w:rPr>
          <w:rFonts w:ascii="Times New Roman" w:hAnsi="Times New Roman"/>
          <w:szCs w:val="24"/>
        </w:rPr>
        <w:t>am Vormittage</w:t>
      </w:r>
      <w:proofErr w:type="gramEnd"/>
      <w:r w:rsidRPr="00071438">
        <w:rPr>
          <w:rFonts w:ascii="Times New Roman" w:hAnsi="Times New Roman"/>
          <w:szCs w:val="24"/>
        </w:rPr>
        <w:t xml:space="preserve"> angezündet werden? Hören wir noch Nichts von dem Lärm der Totengräber, welche Gott begraben Riechen wir noch Nichts von der göttlichen Verwesung? – auch Götter verwesen! Gott ist tot! Gott bleibt tot! Und wir haben ihn getötet! Wie trösten wir uns, die Mörder aller Mörder? Das Heiligste und Mächtigste, was die Welt bisher besaß, es ist unter unseren Messern verblutet, - wer wischt dies Blut von uns ab? Mit welchem Wasser könnten wir uns reinigen? Welche </w:t>
      </w:r>
      <w:proofErr w:type="spellStart"/>
      <w:r w:rsidRPr="00071438">
        <w:rPr>
          <w:rFonts w:ascii="Times New Roman" w:hAnsi="Times New Roman"/>
          <w:szCs w:val="24"/>
        </w:rPr>
        <w:t>Sühnfeiern</w:t>
      </w:r>
      <w:proofErr w:type="spellEnd"/>
      <w:r w:rsidRPr="00071438">
        <w:rPr>
          <w:rFonts w:ascii="Times New Roman" w:hAnsi="Times New Roman"/>
          <w:szCs w:val="24"/>
        </w:rPr>
        <w:t xml:space="preserve">, welche heiligen Spiele werden wir erfinden müssen? Ist nicht die Größe dieser Tat zu groß für uns? Müssen wir nicht </w:t>
      </w:r>
      <w:proofErr w:type="gramStart"/>
      <w:r w:rsidRPr="00071438">
        <w:rPr>
          <w:rFonts w:ascii="Times New Roman" w:hAnsi="Times New Roman"/>
          <w:szCs w:val="24"/>
        </w:rPr>
        <w:t>selber</w:t>
      </w:r>
      <w:proofErr w:type="gramEnd"/>
      <w:r w:rsidRPr="00071438">
        <w:rPr>
          <w:rFonts w:ascii="Times New Roman" w:hAnsi="Times New Roman"/>
          <w:szCs w:val="24"/>
        </w:rPr>
        <w:t xml:space="preserve"> zu Göttern werden, um nur ihrer würdig zu erscheinen? Es gab nie eine größere Tat, - und wer nur immer nach uns geboren wird, gehört </w:t>
      </w:r>
      <w:proofErr w:type="gramStart"/>
      <w:r w:rsidRPr="00071438">
        <w:rPr>
          <w:rFonts w:ascii="Times New Roman" w:hAnsi="Times New Roman"/>
          <w:szCs w:val="24"/>
        </w:rPr>
        <w:t>um dieser Tat</w:t>
      </w:r>
      <w:proofErr w:type="gramEnd"/>
      <w:r w:rsidRPr="00071438">
        <w:rPr>
          <w:rFonts w:ascii="Times New Roman" w:hAnsi="Times New Roman"/>
          <w:szCs w:val="24"/>
        </w:rPr>
        <w:t xml:space="preserve"> willen in eine höhere Geschichte, als alle Geschichte bisher war!“ – Hier schwieg der </w:t>
      </w:r>
      <w:proofErr w:type="gramStart"/>
      <w:r w:rsidRPr="00071438">
        <w:rPr>
          <w:rFonts w:ascii="Times New Roman" w:hAnsi="Times New Roman"/>
          <w:szCs w:val="24"/>
        </w:rPr>
        <w:t>tolle</w:t>
      </w:r>
      <w:proofErr w:type="gramEnd"/>
      <w:r w:rsidRPr="00071438">
        <w:rPr>
          <w:rFonts w:ascii="Times New Roman" w:hAnsi="Times New Roman"/>
          <w:szCs w:val="24"/>
        </w:rPr>
        <w:t xml:space="preserve"> Mensch und sah wieder seine Zuhörer an: auch sie schwiegen und blickten befremdet auf ihn. Endlich warf er seine Laterne auf den Boden, dass sie in Stücke sprang und erlosch. „Ich komme zu früh, sagte er dann, ich bin noch nicht an der Zeit. Dies ungeheure Ereignis ist noch unterwegs und wandert, - es ist noch nicht bis zu den Ohren der Menschen gedrungen. Blitz und Donner brauchen Zeit, das Licht der Gestirne braucht Zeit, Taten brauchen Zeit, auch nachdem sie getan sind, </w:t>
      </w:r>
      <w:proofErr w:type="gramStart"/>
      <w:r w:rsidRPr="00071438">
        <w:rPr>
          <w:rFonts w:ascii="Times New Roman" w:hAnsi="Times New Roman"/>
          <w:szCs w:val="24"/>
        </w:rPr>
        <w:t>um gesehen</w:t>
      </w:r>
      <w:proofErr w:type="gramEnd"/>
      <w:r w:rsidRPr="00071438">
        <w:rPr>
          <w:rFonts w:ascii="Times New Roman" w:hAnsi="Times New Roman"/>
          <w:szCs w:val="24"/>
        </w:rPr>
        <w:t xml:space="preserve"> und gehört zu werden. Die Tat ist ihnen immer noch </w:t>
      </w:r>
      <w:proofErr w:type="gramStart"/>
      <w:r w:rsidRPr="00071438">
        <w:rPr>
          <w:rFonts w:ascii="Times New Roman" w:hAnsi="Times New Roman"/>
          <w:szCs w:val="24"/>
        </w:rPr>
        <w:t>ferner,</w:t>
      </w:r>
      <w:proofErr w:type="gramEnd"/>
      <w:r w:rsidRPr="00071438">
        <w:rPr>
          <w:rFonts w:ascii="Times New Roman" w:hAnsi="Times New Roman"/>
          <w:szCs w:val="24"/>
        </w:rPr>
        <w:t xml:space="preserve"> als die fernsten Gestirne, – und doch haben sie dieselbe getan!“ – Man erzählt noch, dass der </w:t>
      </w:r>
      <w:proofErr w:type="gramStart"/>
      <w:r w:rsidRPr="00071438">
        <w:rPr>
          <w:rFonts w:ascii="Times New Roman" w:hAnsi="Times New Roman"/>
          <w:szCs w:val="24"/>
        </w:rPr>
        <w:t>tolle</w:t>
      </w:r>
      <w:proofErr w:type="gramEnd"/>
      <w:r w:rsidRPr="00071438">
        <w:rPr>
          <w:rFonts w:ascii="Times New Roman" w:hAnsi="Times New Roman"/>
          <w:szCs w:val="24"/>
        </w:rPr>
        <w:t xml:space="preserve"> Mensch des selbigen Tages in verschiedene Kirchen eingedrungen sei und darin sein Requiem aeternam </w:t>
      </w:r>
      <w:proofErr w:type="spellStart"/>
      <w:r w:rsidRPr="00071438">
        <w:rPr>
          <w:rFonts w:ascii="Times New Roman" w:hAnsi="Times New Roman"/>
          <w:szCs w:val="24"/>
        </w:rPr>
        <w:t>deo</w:t>
      </w:r>
      <w:proofErr w:type="spellEnd"/>
      <w:r w:rsidRPr="00071438">
        <w:rPr>
          <w:rFonts w:ascii="Times New Roman" w:hAnsi="Times New Roman"/>
          <w:szCs w:val="24"/>
        </w:rPr>
        <w:t xml:space="preserve"> angestimmt habe. Hinausgeführt und zur Rede gesetzt, habe er immer nur dies entgegnet: „Was sind denn diese Kirchen noch, wenn sie nicht die Grüfte und Grabmäler Gottes sind?“ – </w:t>
      </w:r>
    </w:p>
    <w:p w14:paraId="32F895D9" w14:textId="77777777" w:rsidR="00815082" w:rsidRPr="00071438" w:rsidRDefault="00815082" w:rsidP="00815082">
      <w:pPr>
        <w:pStyle w:val="berschrift2"/>
        <w:spacing w:before="480"/>
        <w:ind w:left="578" w:hanging="578"/>
      </w:pPr>
      <w:bookmarkStart w:id="38" w:name="_Toc288242471"/>
      <w:bookmarkStart w:id="39" w:name="_Toc289621071"/>
      <w:bookmarkStart w:id="40" w:name="_Toc290007775"/>
      <w:bookmarkStart w:id="41" w:name="_Toc290185939"/>
      <w:bookmarkStart w:id="42" w:name="_Toc290188961"/>
      <w:bookmarkStart w:id="43" w:name="_Toc290189117"/>
      <w:bookmarkStart w:id="44" w:name="_Toc290213457"/>
      <w:bookmarkStart w:id="45" w:name="_Toc290226128"/>
      <w:bookmarkStart w:id="46" w:name="_Toc291538100"/>
      <w:bookmarkStart w:id="47" w:name="_Toc291538704"/>
      <w:bookmarkStart w:id="48" w:name="_Toc291567594"/>
      <w:bookmarkStart w:id="49" w:name="_Toc291590438"/>
      <w:bookmarkStart w:id="50" w:name="_Toc291670794"/>
      <w:bookmarkStart w:id="51" w:name="_Toc291670953"/>
      <w:bookmarkStart w:id="52" w:name="_Toc291671118"/>
      <w:bookmarkStart w:id="53" w:name="_Toc291671289"/>
      <w:bookmarkStart w:id="54" w:name="_Toc292432209"/>
      <w:bookmarkStart w:id="55" w:name="_Toc292773565"/>
      <w:bookmarkStart w:id="56" w:name="_Toc292773728"/>
      <w:bookmarkStart w:id="57" w:name="_Toc292773912"/>
      <w:bookmarkStart w:id="58" w:name="_Toc293232533"/>
      <w:bookmarkStart w:id="59" w:name="_Toc293236658"/>
      <w:r>
        <w:lastRenderedPageBreak/>
        <w:t xml:space="preserve">Friedrich Nietzsche: </w:t>
      </w:r>
      <w:r w:rsidRPr="00071438">
        <w:t>Größter Nutzen des Polytheismus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5996F44" w14:textId="77777777" w:rsidR="00815082" w:rsidRPr="00071438" w:rsidRDefault="00815082" w:rsidP="00815082">
      <w:pPr>
        <w:pStyle w:val="Textkrper"/>
        <w:spacing w:line="360" w:lineRule="auto"/>
        <w:ind w:right="567"/>
        <w:rPr>
          <w:rFonts w:ascii="Times New Roman" w:hAnsi="Times New Roman"/>
          <w:szCs w:val="24"/>
        </w:rPr>
      </w:pPr>
      <w:r w:rsidRPr="00071438">
        <w:rPr>
          <w:rFonts w:ascii="Times New Roman" w:hAnsi="Times New Roman"/>
          <w:szCs w:val="24"/>
        </w:rPr>
        <w:t>Dass der Einzelne sich sein eigenes Ideal aufstelle und aus ihm sein Gesetz, seine Freuden und seine Rechte ableite – das galt wohl bisher als die ungeheuerlichste aller menschlichen Verirrungen und als die Abgötterei an sich. In der Tat haben die Wenigen, die dies wagten, immer vor sich selber eine Apologie nötig gehabt, und diese lautete gewöhnlich: „nicht ich! nicht ich</w:t>
      </w:r>
      <w:proofErr w:type="gramStart"/>
      <w:r w:rsidRPr="00071438">
        <w:rPr>
          <w:rFonts w:ascii="Times New Roman" w:hAnsi="Times New Roman"/>
          <w:szCs w:val="24"/>
        </w:rPr>
        <w:t>!</w:t>
      </w:r>
      <w:proofErr w:type="gramEnd"/>
      <w:r w:rsidRPr="00071438">
        <w:rPr>
          <w:rFonts w:ascii="Times New Roman" w:hAnsi="Times New Roman"/>
          <w:szCs w:val="24"/>
        </w:rPr>
        <w:t xml:space="preserve"> sondern ein Gott durch mich!“ Die wundervolle Kunst und Kraft, Götter zu schaffen – der Polytheismus – war es, in der dieser Trieb [</w:t>
      </w:r>
      <w:proofErr w:type="spellStart"/>
      <w:r w:rsidRPr="00071438">
        <w:rPr>
          <w:rFonts w:ascii="Times New Roman" w:hAnsi="Times New Roman"/>
          <w:szCs w:val="24"/>
        </w:rPr>
        <w:t>s.c</w:t>
      </w:r>
      <w:proofErr w:type="spellEnd"/>
      <w:r w:rsidRPr="00071438">
        <w:rPr>
          <w:rFonts w:ascii="Times New Roman" w:hAnsi="Times New Roman"/>
          <w:szCs w:val="24"/>
        </w:rPr>
        <w:t xml:space="preserve">. sich sein eigenes Ideal aufzustellen] sich entladen durfte, in der er sich reinigte, vervollkommnete, veredelte: denn ursprünglich war es ein gemeiner und unansehnlicher Trieb, verwandt dem Eigensinn, dem Ungehorsame und dem Neide. Diesem Trieb zum eigenen Ideale </w:t>
      </w:r>
      <w:proofErr w:type="gramStart"/>
      <w:r w:rsidRPr="00071438">
        <w:rPr>
          <w:rFonts w:ascii="Times New Roman" w:hAnsi="Times New Roman"/>
          <w:szCs w:val="24"/>
        </w:rPr>
        <w:t>feind</w:t>
      </w:r>
      <w:proofErr w:type="gramEnd"/>
      <w:r w:rsidRPr="00071438">
        <w:rPr>
          <w:rFonts w:ascii="Times New Roman" w:hAnsi="Times New Roman"/>
          <w:szCs w:val="24"/>
        </w:rPr>
        <w:t xml:space="preserve"> sein: das war ehemals das Gesetz jeder Sittlichkeit. Da gab es nur Eine Norm: „der Mensch“ – und jedes Volk glaubte diese Eine und letzte Norm zu haben. Aber über sich und außer sich, in einer fernen Überwelt, durfte man eine Mehrzahl von Normen sehen: der eine Gott war nicht die Leugnung oder Lästerung des anderen Gottes! Hier erlaubte man sich zuerst Individuen, hier ehrte man zuerst das Recht von Individuen. Die Erfindung von Göttern, Heroen und Übermenschen aller Art, sowie von Neben- und Untermenschen, von Zwergen, Feen, Centauren, Satyrn, Dämonen und Teufeln, war die unschätzbare Vorübung zur Rechtfertigung der Sehnsucht und Selbstherrlichkeit des Einzelnen: die Freiheit, welche man dem Gotte gegen die anderen Götter gewährte, gab man zuletzt sich </w:t>
      </w:r>
      <w:proofErr w:type="gramStart"/>
      <w:r w:rsidRPr="00071438">
        <w:rPr>
          <w:rFonts w:ascii="Times New Roman" w:hAnsi="Times New Roman"/>
          <w:szCs w:val="24"/>
        </w:rPr>
        <w:t>selber</w:t>
      </w:r>
      <w:proofErr w:type="gramEnd"/>
      <w:r w:rsidRPr="00071438">
        <w:rPr>
          <w:rFonts w:ascii="Times New Roman" w:hAnsi="Times New Roman"/>
          <w:szCs w:val="24"/>
        </w:rPr>
        <w:t xml:space="preserve"> gegen Gesetze und Sitten und Nachbarn.</w:t>
      </w:r>
    </w:p>
    <w:p w14:paraId="6A4E377A" w14:textId="77777777" w:rsidR="00815082" w:rsidRPr="00071438" w:rsidRDefault="00815082" w:rsidP="00815082">
      <w:pPr>
        <w:pStyle w:val="Textkrper"/>
        <w:spacing w:line="360" w:lineRule="auto"/>
        <w:ind w:right="567" w:firstLine="170"/>
        <w:rPr>
          <w:rFonts w:ascii="Times New Roman" w:hAnsi="Times New Roman"/>
          <w:szCs w:val="24"/>
        </w:rPr>
      </w:pPr>
      <w:r w:rsidRPr="00071438">
        <w:rPr>
          <w:rFonts w:ascii="Times New Roman" w:hAnsi="Times New Roman"/>
          <w:szCs w:val="24"/>
        </w:rPr>
        <w:t>Der Monotheismus dagegen, diese starre Konsequenz der Lehre von Einem Normalmenschen – also der Glaube an eine Normalgott, neben dem es nur noch falsche Lügengötter gibt – war vielleicht die größte Gefahr der bisherigen Menschheit: da drohte ihr jener vorzeitige Stillstand, welchen, soweit wir sehen können, die meisten anderen Tiergattungen schon längst erreicht haben; als welche alle an Ein Normaltier und Ideal in ihrer Gattung glauben und die Sittlichkeit der Sitte sich endgültig in Fleisch und Blut übersetzt haben.</w:t>
      </w:r>
    </w:p>
    <w:p w14:paraId="55B330DD" w14:textId="77777777" w:rsidR="00815082" w:rsidRDefault="00815082" w:rsidP="00815082">
      <w:pPr>
        <w:pStyle w:val="Textkrper"/>
        <w:spacing w:line="360" w:lineRule="auto"/>
        <w:ind w:right="567" w:firstLine="170"/>
        <w:rPr>
          <w:rFonts w:ascii="Times New Roman" w:hAnsi="Times New Roman"/>
          <w:szCs w:val="24"/>
        </w:rPr>
      </w:pPr>
      <w:r w:rsidRPr="00071438">
        <w:rPr>
          <w:rFonts w:ascii="Times New Roman" w:hAnsi="Times New Roman"/>
          <w:szCs w:val="24"/>
        </w:rPr>
        <w:t xml:space="preserve">Im Polytheismus lag die Freigeisterei und </w:t>
      </w:r>
      <w:proofErr w:type="spellStart"/>
      <w:r w:rsidRPr="00071438">
        <w:rPr>
          <w:rFonts w:ascii="Times New Roman" w:hAnsi="Times New Roman"/>
          <w:szCs w:val="24"/>
        </w:rPr>
        <w:t>Vielgeisterei</w:t>
      </w:r>
      <w:proofErr w:type="spellEnd"/>
      <w:r w:rsidRPr="00071438">
        <w:rPr>
          <w:rFonts w:ascii="Times New Roman" w:hAnsi="Times New Roman"/>
          <w:szCs w:val="24"/>
        </w:rPr>
        <w:t xml:space="preserve"> des Menschen vorgebildet: die Kraft, sich neue und eigene Augen zu schaffen und immer wieder neue und noch eigenere: sodass es für den Menschen allein unter allen Tieren keine ewigen Horizonte und Perspektiven gibt</w:t>
      </w:r>
    </w:p>
    <w:p w14:paraId="56667D8D" w14:textId="77777777" w:rsidR="00815082" w:rsidRPr="00071438" w:rsidRDefault="00815082" w:rsidP="00815082">
      <w:pPr>
        <w:pStyle w:val="berschrift2"/>
        <w:spacing w:before="480"/>
        <w:ind w:left="578" w:hanging="578"/>
      </w:pPr>
      <w:bookmarkStart w:id="60" w:name="_Toc290007776"/>
      <w:bookmarkStart w:id="61" w:name="_Toc290185940"/>
      <w:bookmarkStart w:id="62" w:name="_Toc290188962"/>
      <w:bookmarkStart w:id="63" w:name="_Toc290189118"/>
      <w:bookmarkStart w:id="64" w:name="_Toc290213458"/>
      <w:bookmarkStart w:id="65" w:name="_Toc290226129"/>
      <w:bookmarkStart w:id="66" w:name="_Toc291538101"/>
      <w:bookmarkStart w:id="67" w:name="_Toc291538705"/>
      <w:bookmarkStart w:id="68" w:name="_Toc291567595"/>
      <w:bookmarkStart w:id="69" w:name="_Toc291590439"/>
      <w:bookmarkStart w:id="70" w:name="_Toc291670795"/>
      <w:bookmarkStart w:id="71" w:name="_Toc291670954"/>
      <w:bookmarkStart w:id="72" w:name="_Toc291671119"/>
      <w:bookmarkStart w:id="73" w:name="_Toc291671290"/>
      <w:bookmarkStart w:id="74" w:name="_Ref292372153"/>
      <w:bookmarkStart w:id="75" w:name="_Ref292372163"/>
      <w:bookmarkStart w:id="76" w:name="_Toc292432210"/>
      <w:bookmarkStart w:id="77" w:name="_Toc292773566"/>
      <w:bookmarkStart w:id="78" w:name="_Toc292773729"/>
      <w:bookmarkStart w:id="79" w:name="_Toc292773913"/>
      <w:bookmarkStart w:id="80" w:name="_Toc293232534"/>
      <w:bookmarkStart w:id="81" w:name="_Toc293236659"/>
      <w:r>
        <w:lastRenderedPageBreak/>
        <w:t xml:space="preserve">Friedrich Nietzsche: </w:t>
      </w:r>
      <w:r w:rsidRPr="00071438">
        <w:t>Der letzte Mensch</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4EB8050" w14:textId="77777777" w:rsidR="00815082" w:rsidRPr="00071438" w:rsidRDefault="00815082" w:rsidP="00815082">
      <w:pPr>
        <w:ind w:right="567" w:firstLine="170"/>
        <w:rPr>
          <w:i/>
          <w:szCs w:val="24"/>
        </w:rPr>
      </w:pPr>
      <w:r w:rsidRPr="00071438">
        <w:rPr>
          <w:szCs w:val="24"/>
        </w:rPr>
        <w:t xml:space="preserve">So will ich ihnen vom Verächtlichsten sprechen: das aber ist </w:t>
      </w:r>
      <w:r w:rsidRPr="00071438">
        <w:rPr>
          <w:i/>
          <w:szCs w:val="24"/>
        </w:rPr>
        <w:t>der letzte Mensch.</w:t>
      </w:r>
    </w:p>
    <w:p w14:paraId="49A63ABA" w14:textId="77777777" w:rsidR="00815082" w:rsidRPr="00071438" w:rsidRDefault="00815082" w:rsidP="00815082">
      <w:pPr>
        <w:ind w:right="567" w:firstLine="170"/>
        <w:rPr>
          <w:szCs w:val="24"/>
        </w:rPr>
      </w:pPr>
      <w:r w:rsidRPr="00071438">
        <w:rPr>
          <w:szCs w:val="24"/>
        </w:rPr>
        <w:t>Und also sprach Zarathustra zum Volke:</w:t>
      </w:r>
    </w:p>
    <w:p w14:paraId="0927DE38" w14:textId="77777777" w:rsidR="00815082" w:rsidRPr="00071438" w:rsidRDefault="00815082" w:rsidP="00815082">
      <w:pPr>
        <w:ind w:right="567" w:firstLine="170"/>
        <w:rPr>
          <w:szCs w:val="24"/>
        </w:rPr>
      </w:pPr>
      <w:r w:rsidRPr="00071438">
        <w:rPr>
          <w:szCs w:val="24"/>
        </w:rPr>
        <w:t>Es ist an der Zeit, dass der Mensch sich sein Ziel stecke. Es ist an der Zeit, dass der Mensch den Keim seiner höchsten Hoffnung pflanze.</w:t>
      </w:r>
    </w:p>
    <w:p w14:paraId="5984CC5B" w14:textId="77777777" w:rsidR="00815082" w:rsidRPr="00071438" w:rsidRDefault="00815082" w:rsidP="00815082">
      <w:pPr>
        <w:ind w:right="567" w:firstLine="170"/>
        <w:rPr>
          <w:szCs w:val="24"/>
        </w:rPr>
      </w:pPr>
      <w:r w:rsidRPr="00071438">
        <w:rPr>
          <w:szCs w:val="24"/>
        </w:rPr>
        <w:t>Noch ist sein Boden dazu reich genug. Aber dieser Boden wird eins arm sein, und kein hohler Baum wird mehr aus ihm wachsen können.</w:t>
      </w:r>
    </w:p>
    <w:p w14:paraId="56A099DF" w14:textId="77777777" w:rsidR="00815082" w:rsidRPr="00071438" w:rsidRDefault="00815082" w:rsidP="00815082">
      <w:pPr>
        <w:ind w:right="567" w:firstLine="170"/>
        <w:rPr>
          <w:szCs w:val="24"/>
        </w:rPr>
      </w:pPr>
      <w:r w:rsidRPr="00071438">
        <w:rPr>
          <w:szCs w:val="24"/>
        </w:rPr>
        <w:t xml:space="preserve">Wehe! Es kommt die Zeit, wo der Mensch nicht mehr den Pfeil seiner Sehnsucht über den Menschen </w:t>
      </w:r>
      <w:proofErr w:type="gramStart"/>
      <w:r w:rsidRPr="00071438">
        <w:rPr>
          <w:szCs w:val="24"/>
        </w:rPr>
        <w:t>hinaus wirft</w:t>
      </w:r>
      <w:proofErr w:type="gramEnd"/>
      <w:r w:rsidRPr="00071438">
        <w:rPr>
          <w:szCs w:val="24"/>
        </w:rPr>
        <w:t>, und die Sehne seines Bogens verlernt hat, zu schwirren.</w:t>
      </w:r>
    </w:p>
    <w:p w14:paraId="6A3BDF8B" w14:textId="77777777" w:rsidR="00815082" w:rsidRPr="00071438" w:rsidRDefault="00815082" w:rsidP="00815082">
      <w:pPr>
        <w:ind w:right="567" w:firstLine="170"/>
        <w:rPr>
          <w:szCs w:val="24"/>
        </w:rPr>
      </w:pPr>
      <w:r w:rsidRPr="00071438">
        <w:rPr>
          <w:szCs w:val="24"/>
        </w:rPr>
        <w:t>Ich sage euch: man muss noch Chaos in sich haben, um einen tanzenden Stern gebären zu können. Ich sage euch: Ihr habt noch Chaos in euch.</w:t>
      </w:r>
    </w:p>
    <w:p w14:paraId="15FBC80B" w14:textId="77777777" w:rsidR="00815082" w:rsidRPr="00071438" w:rsidRDefault="00815082" w:rsidP="00815082">
      <w:pPr>
        <w:ind w:right="567" w:firstLine="170"/>
        <w:rPr>
          <w:szCs w:val="24"/>
        </w:rPr>
      </w:pPr>
      <w:r w:rsidRPr="00071438">
        <w:rPr>
          <w:szCs w:val="24"/>
        </w:rPr>
        <w:t xml:space="preserve">Wehe! Es kommt die Zeit, wo der Mensch keinen Stern mehr gebären wird. Wehe! Es kommt die Zeit des verächtlichsten Menschen, der sich </w:t>
      </w:r>
      <w:proofErr w:type="gramStart"/>
      <w:r w:rsidRPr="00071438">
        <w:rPr>
          <w:szCs w:val="24"/>
        </w:rPr>
        <w:t>selber</w:t>
      </w:r>
      <w:proofErr w:type="gramEnd"/>
      <w:r w:rsidRPr="00071438">
        <w:rPr>
          <w:szCs w:val="24"/>
        </w:rPr>
        <w:t xml:space="preserve"> nicht mehr verachten kann.</w:t>
      </w:r>
    </w:p>
    <w:p w14:paraId="7735FABA" w14:textId="77777777" w:rsidR="00815082" w:rsidRPr="00071438" w:rsidRDefault="00815082" w:rsidP="00815082">
      <w:pPr>
        <w:ind w:right="567" w:firstLine="170"/>
        <w:rPr>
          <w:szCs w:val="24"/>
        </w:rPr>
      </w:pPr>
      <w:r w:rsidRPr="00071438">
        <w:rPr>
          <w:szCs w:val="24"/>
        </w:rPr>
        <w:t xml:space="preserve">Seht! Ich zeige euch den </w:t>
      </w:r>
      <w:r w:rsidRPr="00071438">
        <w:rPr>
          <w:i/>
          <w:szCs w:val="24"/>
        </w:rPr>
        <w:t>letzten Menschen</w:t>
      </w:r>
      <w:r w:rsidRPr="00071438">
        <w:rPr>
          <w:szCs w:val="24"/>
        </w:rPr>
        <w:t>:</w:t>
      </w:r>
    </w:p>
    <w:p w14:paraId="6CE09C44" w14:textId="77777777" w:rsidR="00815082" w:rsidRPr="00071438" w:rsidRDefault="00815082" w:rsidP="00815082">
      <w:pPr>
        <w:ind w:right="567" w:firstLine="170"/>
        <w:rPr>
          <w:szCs w:val="24"/>
        </w:rPr>
      </w:pPr>
      <w:r w:rsidRPr="00071438">
        <w:rPr>
          <w:szCs w:val="24"/>
        </w:rPr>
        <w:t xml:space="preserve">‚Was ist Liebe? Was ist Schöpfung? Was ist Sehnsucht? Was ist </w:t>
      </w:r>
      <w:proofErr w:type="gramStart"/>
      <w:r w:rsidRPr="00071438">
        <w:rPr>
          <w:szCs w:val="24"/>
        </w:rPr>
        <w:t>Stern?’</w:t>
      </w:r>
      <w:proofErr w:type="gramEnd"/>
      <w:r w:rsidRPr="00071438">
        <w:rPr>
          <w:szCs w:val="24"/>
        </w:rPr>
        <w:t xml:space="preserve"> – so fragt der letzte Mensch und blinzelt.</w:t>
      </w:r>
    </w:p>
    <w:p w14:paraId="7FD7CFB7" w14:textId="77777777" w:rsidR="00815082" w:rsidRPr="00071438" w:rsidRDefault="00815082" w:rsidP="00815082">
      <w:pPr>
        <w:ind w:right="567" w:firstLine="170"/>
        <w:rPr>
          <w:szCs w:val="24"/>
        </w:rPr>
      </w:pPr>
      <w:r w:rsidRPr="00071438">
        <w:rPr>
          <w:szCs w:val="24"/>
        </w:rPr>
        <w:t>Die Erde ist dann klein geworden, und auf ihr hüpft der letzte Mensch, der Alles klein macht. Sein Geschlecht ist unaustilgbar, wie der Erdfloh; der letzte Mensch lebt am längsten.</w:t>
      </w:r>
    </w:p>
    <w:p w14:paraId="154898CB" w14:textId="77777777" w:rsidR="00815082" w:rsidRPr="00071438" w:rsidRDefault="00815082" w:rsidP="00815082">
      <w:pPr>
        <w:ind w:right="567" w:firstLine="170"/>
        <w:rPr>
          <w:szCs w:val="24"/>
        </w:rPr>
      </w:pPr>
      <w:r w:rsidRPr="00071438">
        <w:rPr>
          <w:szCs w:val="24"/>
        </w:rPr>
        <w:t>‚Wir haben das Glück erfunden’ – sagen die letzten Menschen und blinzeln.</w:t>
      </w:r>
    </w:p>
    <w:p w14:paraId="1D1A5A39" w14:textId="77777777" w:rsidR="00815082" w:rsidRPr="00071438" w:rsidRDefault="00815082" w:rsidP="00815082">
      <w:pPr>
        <w:ind w:right="567" w:firstLine="170"/>
        <w:rPr>
          <w:szCs w:val="24"/>
        </w:rPr>
      </w:pPr>
      <w:r w:rsidRPr="00071438">
        <w:rPr>
          <w:szCs w:val="24"/>
        </w:rPr>
        <w:lastRenderedPageBreak/>
        <w:t>Sie haben die Gegenden verlassen, wo es hart war zu leben: denn man braucht Wärme. Man liebt noch den Nachbar und reibt sich an ihm: denn man braucht Wärme. […]</w:t>
      </w:r>
    </w:p>
    <w:p w14:paraId="1703F235" w14:textId="77777777" w:rsidR="00815082" w:rsidRPr="00071438" w:rsidRDefault="00815082" w:rsidP="00815082">
      <w:pPr>
        <w:ind w:right="567" w:firstLine="170"/>
        <w:rPr>
          <w:szCs w:val="24"/>
        </w:rPr>
      </w:pPr>
      <w:r w:rsidRPr="00071438">
        <w:rPr>
          <w:szCs w:val="24"/>
        </w:rPr>
        <w:t>Ein wenig Gift ab und zu: das macht angenehme Träume. Und viel Gift zuletzt, zu einem angenehmen Sterben. […]</w:t>
      </w:r>
    </w:p>
    <w:p w14:paraId="0D6FA942" w14:textId="77777777" w:rsidR="00815082" w:rsidRPr="00071438" w:rsidRDefault="00815082" w:rsidP="00815082">
      <w:pPr>
        <w:ind w:right="567" w:firstLine="170"/>
        <w:rPr>
          <w:szCs w:val="24"/>
        </w:rPr>
      </w:pPr>
      <w:r w:rsidRPr="00071438">
        <w:rPr>
          <w:szCs w:val="24"/>
        </w:rPr>
        <w:t xml:space="preserve">Man wird nicht mehr arm und reich: Beides ist zu beschwerlich. Wer will noch regieren? Wer noch </w:t>
      </w:r>
      <w:proofErr w:type="gramStart"/>
      <w:r w:rsidRPr="00071438">
        <w:rPr>
          <w:szCs w:val="24"/>
        </w:rPr>
        <w:t>gehorchen</w:t>
      </w:r>
      <w:proofErr w:type="gramEnd"/>
      <w:r w:rsidRPr="00071438">
        <w:rPr>
          <w:szCs w:val="24"/>
        </w:rPr>
        <w:t>? Beides ist zu beschwerlich.</w:t>
      </w:r>
    </w:p>
    <w:p w14:paraId="0FBCFFD4" w14:textId="77777777" w:rsidR="00815082" w:rsidRPr="00071438" w:rsidRDefault="00815082" w:rsidP="00815082">
      <w:pPr>
        <w:ind w:right="567" w:firstLine="170"/>
        <w:rPr>
          <w:szCs w:val="24"/>
        </w:rPr>
      </w:pPr>
      <w:r w:rsidRPr="00071438">
        <w:rPr>
          <w:szCs w:val="24"/>
        </w:rPr>
        <w:t>Kein Hirt und Eine Herde! Jeder will das Gleiche, Jeder ist gleich: wer anders fühlt, geht freiwillig ins Irrenhaus. […]</w:t>
      </w:r>
    </w:p>
    <w:p w14:paraId="60AF19FE" w14:textId="77777777" w:rsidR="00815082" w:rsidRPr="00071438" w:rsidRDefault="00815082" w:rsidP="00815082">
      <w:pPr>
        <w:ind w:right="567" w:firstLine="170"/>
        <w:rPr>
          <w:szCs w:val="24"/>
        </w:rPr>
      </w:pPr>
      <w:r w:rsidRPr="00071438">
        <w:rPr>
          <w:szCs w:val="24"/>
        </w:rPr>
        <w:t>Man hat sein Lüstchen für den Tag und sein Lüstchen für die Nacht: aber man ehrt die Gesundheit.</w:t>
      </w:r>
    </w:p>
    <w:p w14:paraId="38850508" w14:textId="77777777" w:rsidR="00815082" w:rsidRPr="00071438" w:rsidRDefault="00815082" w:rsidP="00815082">
      <w:pPr>
        <w:ind w:right="567" w:firstLine="170"/>
        <w:rPr>
          <w:szCs w:val="24"/>
        </w:rPr>
      </w:pPr>
      <w:r w:rsidRPr="00071438">
        <w:rPr>
          <w:szCs w:val="24"/>
        </w:rPr>
        <w:t>‚Wir haben das Glück erfunden’ – sagen die letzten Menschen und blinzeln.</w:t>
      </w:r>
    </w:p>
    <w:p w14:paraId="621EE2FD" w14:textId="77777777" w:rsidR="00815082" w:rsidRDefault="00815082" w:rsidP="00815082">
      <w:pPr>
        <w:pStyle w:val="berschrift2"/>
        <w:spacing w:before="480"/>
        <w:ind w:left="578" w:hanging="578"/>
      </w:pPr>
      <w:r>
        <w:t>Friedrich Nietzsche: Irrtum vom freien Willen</w:t>
      </w:r>
    </w:p>
    <w:p w14:paraId="55F6F101" w14:textId="77777777" w:rsidR="00815082" w:rsidRDefault="00815082" w:rsidP="00815082">
      <w:r>
        <w:t xml:space="preserve">7. Irrtum vom freien Willen. – Wir haben heute kein Mitleid mehr mit dem Begriff "freier Wille": wir wissen nur zu gut, was er ist – das anrüchigste Theologen-Kunststück, das es gibt, zum Zweck, die Menschheit in ihrem Sinne verantwortlich" zu machen, das heißt sie von sich abhängig zu machen ... Ich gebe hier nur die Psychologie alles Verantwortlichmachens. – überall, wo Verantwortlichkeiten gesucht werden, pflegt es der Instinkt des Strafen- und Richten-Wollens zu sein, der da sucht. Man hat das Werden seiner Unschuld entkleidet, wenn irgendein So-und-so Sein </w:t>
      </w:r>
      <w:proofErr w:type="gramStart"/>
      <w:r>
        <w:t>auf Wille</w:t>
      </w:r>
      <w:proofErr w:type="gramEnd"/>
      <w:r>
        <w:t xml:space="preserve">, auf Absichten, auf Akte der Verantwortlichkeit zurückgeführt wird: die Lehre vom Willen ist wesentlich erfunden zum Zweck der Strafe, das heißt des Schuldig-finden-wollens. Die ganze alte Psychologie, die Willens-Psychologie hat ihre Voraussetzung darin, dass deren Urheber, die Priester an der Spitze alter Gemeinwesen, sich ein Recht schaffen wollten, Strafen zu verhängen – oder Gott dazu ein Recht schaffen </w:t>
      </w:r>
      <w:r>
        <w:lastRenderedPageBreak/>
        <w:t xml:space="preserve">wollten ... Die Menschen wurden "frei" gedacht, um gerichtet, um gestraft werden zu können, – um schuldig werden zu können: folglich musste jede Handlung als gewollt, der Ursprung jeder Handlung im Bewusstsein liegend gedacht werden (- womit die grundsätzlichste Falschmünzerei in </w:t>
      </w:r>
      <w:proofErr w:type="spellStart"/>
      <w:r>
        <w:t>psychologicis</w:t>
      </w:r>
      <w:proofErr w:type="spellEnd"/>
      <w:r>
        <w:t xml:space="preserve"> zum Prinzip der Psychologie selbst gemacht war </w:t>
      </w:r>
      <w:proofErr w:type="gramStart"/>
      <w:r>
        <w:t>... )</w:t>
      </w:r>
      <w:proofErr w:type="gramEnd"/>
      <w:r>
        <w:t xml:space="preserve"> Heute, wo wir in die umgekehrte Bewegung eingetreten sind, wo wir Immoralisten zumal mit aller Kraft den Schuldbegriff und den Strafbegriff aus der Welt wieder herauszunehmen und Psychologie, Geschichte, Natur, die gesellschaftlichen Institutionen und Sanktionen von ihnen zu reinigen suchen, gibt es in unsern Augen keine radikalere Gegnerschaft als die der Theologen, welche fortfahren, mit dem Begriff der "sittlichen Weltordnung" die Unschuld des Werdens durch "Strafe" und "Schuld" zu durchseuchen. Das </w:t>
      </w:r>
      <w:proofErr w:type="spellStart"/>
      <w:r>
        <w:t>Christenthum</w:t>
      </w:r>
      <w:proofErr w:type="spellEnd"/>
      <w:r>
        <w:t xml:space="preserve"> ist eine Metaphysik des Henkers ...</w:t>
      </w:r>
    </w:p>
    <w:p w14:paraId="7D889F2F" w14:textId="77777777" w:rsidR="00815082" w:rsidRDefault="00815082" w:rsidP="00815082">
      <w:r>
        <w:t xml:space="preserve">8. Was kann allein unsre Lehre sein? – Dass Niemand dem Menschen seine Eigenschaften </w:t>
      </w:r>
      <w:proofErr w:type="spellStart"/>
      <w:r>
        <w:t>giebt</w:t>
      </w:r>
      <w:proofErr w:type="spellEnd"/>
      <w:r>
        <w:t xml:space="preserve">, weder </w:t>
      </w:r>
      <w:proofErr w:type="gramStart"/>
      <w:r>
        <w:t>Gott,</w:t>
      </w:r>
      <w:proofErr w:type="gramEnd"/>
      <w:r>
        <w:t xml:space="preserve"> noch die Gesellschaft, noch seine Eltern und Vorfahren, noch er selbst (- der Unsinn der hier zuletzt abgelehnten Vorstellung ist als "intelligible Freiheit" von Kant, vielleicht auch schon von Plato gelehrt worden). Niemand ist dafür verantwortlich, dass er überhaupt da ist, dass er so und so beschaffen ist, dass er unter diesen Umständen, in dieser Umgebung ist. Die Fatalität seines Wesens ist nicht herauszulösen aus der Fatalität alles dessen, was war und was sein wird. Er ist nicht die Folge einer eignen Absicht, eines Willens, eines Zwecks, mit ihm wird nicht der Versuch gemacht, ein "Ideal </w:t>
      </w:r>
      <w:proofErr w:type="gramStart"/>
      <w:r>
        <w:t>von Mensch</w:t>
      </w:r>
      <w:proofErr w:type="gramEnd"/>
      <w:r>
        <w:t xml:space="preserve">" oder ein "Ideal von Glück" oder ein "Ideal von Moralität" zu erreichen, – es ist absurd, sein Wesen in irgend einen Zweck hin abwälzen zu wollen. Wir haben den Begriff "Zweck" erfunden: in der Realität fehlt der Zweck ... Man ist notwendig, man ist ein Stück Verhängnis, man gehört zum Ganzen, man ist im Ganzen, – es gibt Nichts, was unser Sein richten, messen, vergleichen, verurteilen könnte, denn das hieße das Ganze richten, messen, vergleichen, verurteilen ... Aber es gibt Nichts außer dem Ganzen! – Dass Niemand mehr verantwortlich gemacht wird, dass die Art des Seins nicht auf eine </w:t>
      </w:r>
      <w:proofErr w:type="spellStart"/>
      <w:r>
        <w:t>causa</w:t>
      </w:r>
      <w:proofErr w:type="spellEnd"/>
      <w:r>
        <w:t xml:space="preserve"> prima </w:t>
      </w:r>
      <w:r>
        <w:lastRenderedPageBreak/>
        <w:t xml:space="preserve">zurückgeführt werden darf, dass die Welt weder als </w:t>
      </w:r>
      <w:proofErr w:type="gramStart"/>
      <w:r>
        <w:t>Sensorium,</w:t>
      </w:r>
      <w:proofErr w:type="gramEnd"/>
      <w:r>
        <w:t xml:space="preserve"> noch als "Geist" eine Einheit ist, dies erst ist die große Befreiung, – damit erst ist die Unschuld des Werdens wieder hergestellt ... Der Begriff "Gott" war bisher der größte Einwand gegen das Dasein ... Wir leugnen Gott, wir leugnen die Verantwortlichkeit in Gott: damit erst erlösen wir die Welt.</w:t>
      </w:r>
    </w:p>
    <w:p w14:paraId="7D4FB685" w14:textId="77777777" w:rsidR="00815082" w:rsidRDefault="00815082" w:rsidP="00815082">
      <w:pPr>
        <w:pStyle w:val="Quelle"/>
      </w:pPr>
      <w:r>
        <w:t>Quellen:</w:t>
      </w:r>
    </w:p>
    <w:p w14:paraId="761A149C" w14:textId="77777777" w:rsidR="00815082" w:rsidRDefault="00815082" w:rsidP="00815082">
      <w:pPr>
        <w:pStyle w:val="Quellentext"/>
      </w:pPr>
      <w:r w:rsidRPr="00DE793C">
        <w:t xml:space="preserve">Friedrich Nietzsche, Die fröhliche Wissenschaft (1882), Nr. 125, in: Giorgio Collie, </w:t>
      </w:r>
      <w:proofErr w:type="spellStart"/>
      <w:r w:rsidRPr="00DE793C">
        <w:t>Mazzino</w:t>
      </w:r>
      <w:proofErr w:type="spellEnd"/>
      <w:r w:rsidRPr="00DE793C">
        <w:t xml:space="preserve"> Montinari (Hrsg.), Friedrich Nietzsche: Sämtliche Werke, Kritische Studienausgabe, Bd. 3, S. 480-482.</w:t>
      </w:r>
    </w:p>
    <w:p w14:paraId="61958E18" w14:textId="77777777" w:rsidR="00815082" w:rsidRDefault="00815082" w:rsidP="00815082">
      <w:pPr>
        <w:pStyle w:val="Quellentext"/>
      </w:pPr>
      <w:r w:rsidRPr="00050477">
        <w:t xml:space="preserve">Friedrich Nietzsche, Die fröhliche Wissenschaft (1882), Nr. 143, </w:t>
      </w:r>
      <w:r w:rsidRPr="00DE793C">
        <w:t xml:space="preserve">in: Giorgio Collie, </w:t>
      </w:r>
      <w:proofErr w:type="spellStart"/>
      <w:r w:rsidRPr="00DE793C">
        <w:t>Mazzino</w:t>
      </w:r>
      <w:proofErr w:type="spellEnd"/>
      <w:r w:rsidRPr="00DE793C">
        <w:t xml:space="preserve"> Montinari (Hrsg.), Friedrich Nietzsche: Sämtliche Werke, Kritische Studienausgabe, </w:t>
      </w:r>
      <w:r w:rsidRPr="00050477">
        <w:t>Bd. 3, S. 490f.</w:t>
      </w:r>
    </w:p>
    <w:p w14:paraId="41791E70" w14:textId="77777777" w:rsidR="00815082" w:rsidRDefault="00815082" w:rsidP="00815082">
      <w:pPr>
        <w:pStyle w:val="Quellentext"/>
        <w:rPr>
          <w:szCs w:val="20"/>
        </w:rPr>
      </w:pPr>
      <w:r w:rsidRPr="005B563E">
        <w:t>Friedrich</w:t>
      </w:r>
      <w:r w:rsidRPr="0004294F">
        <w:rPr>
          <w:lang w:val="it-IT"/>
        </w:rPr>
        <w:t xml:space="preserve"> Niet</w:t>
      </w:r>
      <w:r>
        <w:rPr>
          <w:lang w:val="it-IT"/>
        </w:rPr>
        <w:t xml:space="preserve">zsche, </w:t>
      </w:r>
      <w:proofErr w:type="spellStart"/>
      <w:r>
        <w:rPr>
          <w:lang w:val="it-IT"/>
        </w:rPr>
        <w:t>Also</w:t>
      </w:r>
      <w:proofErr w:type="spellEnd"/>
      <w:r>
        <w:rPr>
          <w:lang w:val="it-IT"/>
        </w:rPr>
        <w:t xml:space="preserve"> </w:t>
      </w:r>
      <w:proofErr w:type="spellStart"/>
      <w:r>
        <w:rPr>
          <w:lang w:val="it-IT"/>
        </w:rPr>
        <w:t>sprach</w:t>
      </w:r>
      <w:proofErr w:type="spellEnd"/>
      <w:r>
        <w:rPr>
          <w:lang w:val="it-IT"/>
        </w:rPr>
        <w:t xml:space="preserve"> Zarathustra (1883 /1885), in:</w:t>
      </w:r>
      <w:r w:rsidRPr="00DE793C">
        <w:t xml:space="preserve"> Giorgio Collie, </w:t>
      </w:r>
      <w:proofErr w:type="spellStart"/>
      <w:r w:rsidRPr="00DE793C">
        <w:t>Mazzino</w:t>
      </w:r>
      <w:proofErr w:type="spellEnd"/>
      <w:r w:rsidRPr="00DE793C">
        <w:t xml:space="preserve"> Montinari (Hrsg.), Friedrich Nietzsche: Sämtliche W</w:t>
      </w:r>
      <w:r>
        <w:t>erke, Kritische Studienausgabe,</w:t>
      </w:r>
      <w:r>
        <w:rPr>
          <w:lang w:val="it-IT"/>
        </w:rPr>
        <w:t xml:space="preserve"> </w:t>
      </w:r>
      <w:proofErr w:type="spellStart"/>
      <w:r w:rsidRPr="0004294F">
        <w:rPr>
          <w:lang w:val="it-IT"/>
        </w:rPr>
        <w:t>Bd</w:t>
      </w:r>
      <w:proofErr w:type="spellEnd"/>
      <w:r w:rsidRPr="0004294F">
        <w:rPr>
          <w:lang w:val="it-IT"/>
        </w:rPr>
        <w:t>. 4, S.</w:t>
      </w:r>
      <w:r>
        <w:rPr>
          <w:lang w:val="it-IT"/>
        </w:rPr>
        <w:t xml:space="preserve"> 1</w:t>
      </w:r>
      <w:r w:rsidRPr="0004294F">
        <w:rPr>
          <w:lang w:val="it-IT"/>
        </w:rPr>
        <w:t>9</w:t>
      </w:r>
      <w:r>
        <w:rPr>
          <w:lang w:val="it-IT"/>
        </w:rPr>
        <w:t>.</w:t>
      </w:r>
    </w:p>
    <w:p w14:paraId="532A14B6" w14:textId="3A4D2837" w:rsidR="00B3685C" w:rsidRPr="00815082" w:rsidRDefault="00815082" w:rsidP="00815082">
      <w:pPr>
        <w:pStyle w:val="Quellentext"/>
        <w:rPr>
          <w:szCs w:val="20"/>
        </w:rPr>
      </w:pPr>
      <w:r w:rsidRPr="007529C4">
        <w:rPr>
          <w:szCs w:val="20"/>
        </w:rPr>
        <w:t xml:space="preserve">Friedrich Nietzsche, Götzen-Dämmerung oder Wie man mit dem Hammer philosophiert (1889): Die vier großen Irrtümer, Nr. 7f, in: Giorgio Collie, </w:t>
      </w:r>
      <w:proofErr w:type="spellStart"/>
      <w:r w:rsidRPr="007529C4">
        <w:rPr>
          <w:szCs w:val="20"/>
        </w:rPr>
        <w:t>Mazzino</w:t>
      </w:r>
      <w:proofErr w:type="spellEnd"/>
      <w:r w:rsidRPr="007529C4">
        <w:rPr>
          <w:szCs w:val="20"/>
        </w:rPr>
        <w:t xml:space="preserve"> Montinari (Hrsg.), Friedrich Nietzsche: Sämtliche Werke, Kritische Studienausgabe, Bd. 6, S. 95ff.</w:t>
      </w:r>
    </w:p>
    <w:sectPr w:rsidR="00B3685C" w:rsidRPr="00815082"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C0A2" w14:textId="77777777" w:rsidR="005E73DC" w:rsidRDefault="005E73DC" w:rsidP="009042F2">
      <w:pPr>
        <w:spacing w:after="0" w:line="240" w:lineRule="auto"/>
      </w:pPr>
      <w:r>
        <w:separator/>
      </w:r>
    </w:p>
  </w:endnote>
  <w:endnote w:type="continuationSeparator" w:id="0">
    <w:p w14:paraId="13D8A98C" w14:textId="77777777" w:rsidR="005E73DC" w:rsidRDefault="005E73D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3A1C06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F75CC">
              <w:rPr>
                <w:bCs/>
                <w:noProof/>
                <w:sz w:val="16"/>
                <w:szCs w:val="16"/>
              </w:rPr>
              <w:t>Einführung in die Philosophie. Friedrich Nietzsche - MB 410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8483" w14:textId="77777777" w:rsidR="005E73DC" w:rsidRDefault="005E73DC" w:rsidP="009042F2">
      <w:pPr>
        <w:spacing w:after="0" w:line="240" w:lineRule="auto"/>
      </w:pPr>
      <w:r>
        <w:separator/>
      </w:r>
    </w:p>
  </w:footnote>
  <w:footnote w:type="continuationSeparator" w:id="0">
    <w:p w14:paraId="1C1B6782" w14:textId="77777777" w:rsidR="005E73DC" w:rsidRDefault="005E73DC" w:rsidP="009042F2">
      <w:pPr>
        <w:spacing w:after="0" w:line="240" w:lineRule="auto"/>
      </w:pPr>
      <w:r>
        <w:continuationSeparator/>
      </w:r>
    </w:p>
  </w:footnote>
  <w:footnote w:id="1">
    <w:p w14:paraId="0F2FA03A" w14:textId="77777777" w:rsidR="00815082" w:rsidRDefault="00815082" w:rsidP="00815082">
      <w:pPr>
        <w:pStyle w:val="Funotentext"/>
      </w:pPr>
      <w:r>
        <w:rPr>
          <w:rStyle w:val="Funotenzeichen"/>
        </w:rPr>
        <w:footnoteRef/>
      </w:r>
      <w:r>
        <w:t xml:space="preserve"> Nietzsches Bild von dem ‚tollen Menschen‘, der am hellen Vormittag eine Lampe anzündet, stilisiert diesen im Motivkreis des antiken griechischen Philosophen Diogenes (ca. 400 -323/24 v.u.Z.), der zu den Kynikern zählte von dem die Anekdote geht, er habe ebenfalls des Mittags eine Lampe entzündet.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14882"/>
    <w:rsid w:val="002747CB"/>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E73DC"/>
    <w:rsid w:val="005F5FA3"/>
    <w:rsid w:val="006017A0"/>
    <w:rsid w:val="0063544C"/>
    <w:rsid w:val="00667FC6"/>
    <w:rsid w:val="006B741C"/>
    <w:rsid w:val="006D7E75"/>
    <w:rsid w:val="00773F59"/>
    <w:rsid w:val="007D0EAE"/>
    <w:rsid w:val="007E1C18"/>
    <w:rsid w:val="007F771A"/>
    <w:rsid w:val="00812352"/>
    <w:rsid w:val="0081508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73F35"/>
    <w:rsid w:val="00B868B5"/>
    <w:rsid w:val="00BA0595"/>
    <w:rsid w:val="00BB7FA8"/>
    <w:rsid w:val="00BD61BE"/>
    <w:rsid w:val="00C10E8C"/>
    <w:rsid w:val="00C34D6B"/>
    <w:rsid w:val="00C3718C"/>
    <w:rsid w:val="00C57168"/>
    <w:rsid w:val="00C64E57"/>
    <w:rsid w:val="00C74B31"/>
    <w:rsid w:val="00CA18CF"/>
    <w:rsid w:val="00CE3AA9"/>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EF75CC"/>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1508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15082"/>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815082"/>
    <w:pPr>
      <w:spacing w:before="600" w:after="120"/>
      <w:contextualSpacing/>
    </w:pPr>
    <w:rPr>
      <w:rFonts w:eastAsia="Calibri" w:cs="Times New Roman"/>
      <w:b/>
      <w:sz w:val="18"/>
    </w:rPr>
  </w:style>
  <w:style w:type="character" w:customStyle="1" w:styleId="QuelleZchn">
    <w:name w:val="Quelle Zchn"/>
    <w:basedOn w:val="Absatz-Standardschriftart"/>
    <w:link w:val="Quelle"/>
    <w:rsid w:val="00815082"/>
    <w:rPr>
      <w:rFonts w:ascii="Times New Roman" w:eastAsia="Calibri" w:hAnsi="Times New Roman" w:cs="Times New Roman"/>
      <w:b/>
      <w:sz w:val="18"/>
    </w:rPr>
  </w:style>
  <w:style w:type="paragraph" w:customStyle="1" w:styleId="Quellentext">
    <w:name w:val="Quellentext"/>
    <w:basedOn w:val="Quelle"/>
    <w:link w:val="QuellentextZchn"/>
    <w:qFormat/>
    <w:rsid w:val="00815082"/>
    <w:pPr>
      <w:numPr>
        <w:numId w:val="8"/>
      </w:numPr>
      <w:spacing w:before="0"/>
      <w:ind w:left="357" w:hanging="357"/>
      <w:contextualSpacing w:val="0"/>
    </w:pPr>
    <w:rPr>
      <w:b w:val="0"/>
    </w:rPr>
  </w:style>
  <w:style w:type="character" w:customStyle="1" w:styleId="QuellentextZchn">
    <w:name w:val="Quellentext Zchn"/>
    <w:basedOn w:val="QuelleZchn"/>
    <w:link w:val="Quellentext"/>
    <w:rsid w:val="00815082"/>
    <w:rPr>
      <w:rFonts w:ascii="Times New Roman" w:eastAsia="Calibri" w:hAnsi="Times New Roman" w:cs="Times New Roman"/>
      <w:b w:val="0"/>
      <w:sz w:val="18"/>
    </w:rPr>
  </w:style>
  <w:style w:type="paragraph" w:styleId="Textkrper">
    <w:name w:val="Body Text"/>
    <w:basedOn w:val="Standard"/>
    <w:link w:val="TextkrperZchn"/>
    <w:uiPriority w:val="99"/>
    <w:unhideWhenUsed/>
    <w:rsid w:val="00815082"/>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815082"/>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815082"/>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815082"/>
    <w:rPr>
      <w:rFonts w:ascii="Calibri" w:eastAsia="Calibri" w:hAnsi="Calibri" w:cs="Times New Roman"/>
      <w:sz w:val="24"/>
    </w:rPr>
  </w:style>
  <w:style w:type="character" w:styleId="NichtaufgelsteErwhnung">
    <w:name w:val="Unresolved Mention"/>
    <w:basedOn w:val="Absatz-Standardschriftart"/>
    <w:uiPriority w:val="99"/>
    <w:semiHidden/>
    <w:unhideWhenUsed/>
    <w:rsid w:val="00CA1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thoma.eu/wissenschaft/postphilosophie/willens-selbst-friedrich-nietzs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2176</Words>
  <Characters>13713</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2021-11-26T13:41:00Z</cp:lastPrinted>
  <dcterms:created xsi:type="dcterms:W3CDTF">2021-08-18T13:49:00Z</dcterms:created>
  <dcterms:modified xsi:type="dcterms:W3CDTF">2021-11-26T13:41:00Z</dcterms:modified>
</cp:coreProperties>
</file>