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CFF10E3" w:rsidR="00C64E57" w:rsidRDefault="00DA283C" w:rsidP="00C64E57">
      <w:pPr>
        <w:spacing w:after="0"/>
        <w:rPr>
          <w:sz w:val="20"/>
        </w:rPr>
      </w:pPr>
      <w:r>
        <w:rPr>
          <w:sz w:val="20"/>
        </w:rPr>
        <w:t xml:space="preserve">Materialblatt </w:t>
      </w:r>
      <w:r w:rsidR="00393643">
        <w:rPr>
          <w:sz w:val="20"/>
        </w:rPr>
        <w:t>412</w:t>
      </w:r>
    </w:p>
    <w:p w14:paraId="441B389F" w14:textId="5C5F00D2" w:rsidR="00E33A8F" w:rsidRDefault="008D6374" w:rsidP="00E33A8F">
      <w:pPr>
        <w:spacing w:after="0" w:line="240" w:lineRule="auto"/>
        <w:rPr>
          <w:sz w:val="20"/>
        </w:rPr>
      </w:pPr>
      <w:r w:rsidRPr="008D6374">
        <w:rPr>
          <w:sz w:val="20"/>
        </w:rPr>
        <w:t>Stichworte:</w:t>
      </w:r>
    </w:p>
    <w:p w14:paraId="1928E867" w14:textId="77777777" w:rsidR="004339E1" w:rsidRDefault="004339E1" w:rsidP="004339E1">
      <w:pPr>
        <w:spacing w:after="0" w:line="240" w:lineRule="auto"/>
        <w:ind w:left="284"/>
        <w:rPr>
          <w:sz w:val="20"/>
        </w:rPr>
      </w:pPr>
      <w:r>
        <w:rPr>
          <w:sz w:val="20"/>
        </w:rPr>
        <w:t>Angst</w:t>
      </w:r>
    </w:p>
    <w:p w14:paraId="51687B9A" w14:textId="77777777" w:rsidR="004339E1" w:rsidRDefault="004339E1" w:rsidP="004339E1">
      <w:pPr>
        <w:spacing w:after="0" w:line="240" w:lineRule="auto"/>
        <w:ind w:left="284"/>
        <w:rPr>
          <w:sz w:val="20"/>
        </w:rPr>
      </w:pPr>
      <w:r>
        <w:rPr>
          <w:sz w:val="20"/>
        </w:rPr>
        <w:t>Freiheit</w:t>
      </w:r>
    </w:p>
    <w:p w14:paraId="305AA806" w14:textId="77777777" w:rsidR="004339E1" w:rsidRDefault="004339E1" w:rsidP="004339E1">
      <w:pPr>
        <w:spacing w:after="240" w:line="240" w:lineRule="auto"/>
        <w:ind w:left="284"/>
        <w:rPr>
          <w:sz w:val="20"/>
        </w:rPr>
      </w:pPr>
      <w:r>
        <w:rPr>
          <w:sz w:val="20"/>
        </w:rPr>
        <w:t>Heidegger, M.</w:t>
      </w:r>
    </w:p>
    <w:p w14:paraId="5B534DD3" w14:textId="5E82A695" w:rsidR="00D75108" w:rsidRDefault="00D75108" w:rsidP="00D75108">
      <w:pPr>
        <w:pStyle w:val="Untertitel"/>
        <w:rPr>
          <w:rFonts w:eastAsia="Calibri"/>
        </w:rPr>
      </w:pPr>
      <w:r>
        <w:rPr>
          <w:rFonts w:eastAsia="Calibri"/>
        </w:rPr>
        <w:t>Einführung in die Philosophie. Martin Heidegger</w:t>
      </w:r>
    </w:p>
    <w:p w14:paraId="1784A4A9" w14:textId="65E47801" w:rsidR="00D75108" w:rsidRDefault="00D75108" w:rsidP="00D75108">
      <w:pPr>
        <w:pStyle w:val="berschrift1"/>
        <w:ind w:left="431" w:hanging="431"/>
      </w:pPr>
      <w:bookmarkStart w:id="0" w:name="_Toc290007777"/>
      <w:bookmarkStart w:id="1" w:name="_Toc290185941"/>
      <w:bookmarkStart w:id="2" w:name="_Toc290188963"/>
      <w:bookmarkStart w:id="3" w:name="_Toc290189119"/>
      <w:bookmarkStart w:id="4" w:name="_Toc290213459"/>
      <w:bookmarkStart w:id="5" w:name="_Toc290226130"/>
      <w:bookmarkStart w:id="6" w:name="_Toc291538102"/>
      <w:bookmarkStart w:id="7" w:name="_Toc291538706"/>
      <w:bookmarkStart w:id="8" w:name="_Toc291567596"/>
      <w:bookmarkStart w:id="9" w:name="_Toc291590440"/>
      <w:bookmarkStart w:id="10" w:name="_Toc291670796"/>
      <w:bookmarkStart w:id="11" w:name="_Toc291670955"/>
      <w:bookmarkStart w:id="12" w:name="_Toc291671120"/>
      <w:bookmarkStart w:id="13" w:name="_Toc291671291"/>
      <w:bookmarkStart w:id="14" w:name="_Toc292432211"/>
      <w:bookmarkStart w:id="15" w:name="_Toc292773567"/>
      <w:bookmarkStart w:id="16" w:name="_Toc292773730"/>
      <w:bookmarkStart w:id="17" w:name="_Toc292773914"/>
      <w:bookmarkStart w:id="18" w:name="_Toc293232535"/>
      <w:bookmarkStart w:id="19" w:name="_Toc293236660"/>
      <w:bookmarkStart w:id="20" w:name="_Toc291538098"/>
      <w:bookmarkStart w:id="21" w:name="_Toc291538702"/>
      <w:bookmarkStart w:id="22" w:name="_Toc291567592"/>
      <w:bookmarkStart w:id="23" w:name="_Toc291590436"/>
      <w:bookmarkStart w:id="24" w:name="_Toc291670792"/>
      <w:bookmarkStart w:id="25" w:name="_Toc291670951"/>
      <w:bookmarkStart w:id="26" w:name="_Toc291671116"/>
      <w:bookmarkStart w:id="27" w:name="_Toc291671287"/>
      <w:bookmarkStart w:id="28" w:name="_Toc292432207"/>
      <w:bookmarkStart w:id="29" w:name="_Toc292773563"/>
      <w:bookmarkStart w:id="30" w:name="_Toc292773726"/>
      <w:bookmarkStart w:id="31" w:name="_Toc292773910"/>
      <w:bookmarkStart w:id="32" w:name="_Toc293232531"/>
      <w:bookmarkStart w:id="33" w:name="_Toc293236656"/>
      <w:r>
        <w:t>Einführung</w:t>
      </w:r>
    </w:p>
    <w:p w14:paraId="08DC9895" w14:textId="669B5A1B" w:rsidR="00D75108" w:rsidRPr="004339E1" w:rsidRDefault="00081C40" w:rsidP="00D75108">
      <w:pPr>
        <w:rPr>
          <w:sz w:val="22"/>
          <w:szCs w:val="18"/>
        </w:rPr>
      </w:pPr>
      <w:hyperlink r:id="rId8" w:history="1">
        <w:r w:rsidR="00D75108" w:rsidRPr="004339E1">
          <w:rPr>
            <w:rStyle w:val="Hyperlink"/>
            <w:sz w:val="22"/>
            <w:szCs w:val="18"/>
          </w:rPr>
          <w:t>https://www.christophthoma.eu/wissenschaft/postphilosophie/erschlossenes-selbst-martin-heidegger/</w:t>
        </w:r>
      </w:hyperlink>
    </w:p>
    <w:p w14:paraId="25DD807B" w14:textId="7DB157DD" w:rsidR="00D75108" w:rsidRDefault="00D75108" w:rsidP="00D75108">
      <w:pPr>
        <w:pStyle w:val="berschrift1"/>
        <w:ind w:left="431" w:hanging="431"/>
      </w:pPr>
      <w:r>
        <w:t>Texte</w:t>
      </w:r>
    </w:p>
    <w:p w14:paraId="3D96A695" w14:textId="216DD93B" w:rsidR="00D75108" w:rsidRPr="00071438" w:rsidRDefault="004339E1" w:rsidP="00D75108">
      <w:pPr>
        <w:pStyle w:val="berschrift2"/>
        <w:spacing w:before="480"/>
        <w:ind w:left="578" w:hanging="578"/>
      </w:pPr>
      <w:r>
        <w:t>Aus „</w:t>
      </w:r>
      <w:r w:rsidR="00D75108" w:rsidRPr="001D1517">
        <w:t>Sein</w:t>
      </w:r>
      <w:r w:rsidR="00D75108">
        <w:t xml:space="preserve"> und Zeit</w:t>
      </w:r>
      <w:r>
        <w:t xml:space="preserve">“: </w:t>
      </w:r>
      <w:r w:rsidR="00D75108" w:rsidRPr="00071438">
        <w:t>Angst und Freiheit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78168EF" w14:textId="77777777" w:rsidR="00D75108" w:rsidRPr="00563117" w:rsidRDefault="00D75108" w:rsidP="00D75108">
      <w:pPr>
        <w:pStyle w:val="Textkrper"/>
        <w:spacing w:line="360" w:lineRule="auto"/>
        <w:ind w:right="567"/>
        <w:rPr>
          <w:rFonts w:ascii="Times New Roman" w:hAnsi="Times New Roman"/>
          <w:i/>
          <w:szCs w:val="24"/>
        </w:rPr>
      </w:pPr>
      <w:r w:rsidRPr="00071438">
        <w:rPr>
          <w:rFonts w:ascii="Times New Roman" w:hAnsi="Times New Roman"/>
          <w:i/>
          <w:szCs w:val="24"/>
        </w:rPr>
        <w:t>§ 40. Die Grundbefindlichkeit der Angst als eine ausgezeichnete Erschlossenheit des Daseins</w:t>
      </w:r>
    </w:p>
    <w:p w14:paraId="1AA38B9E" w14:textId="77777777" w:rsidR="00D75108" w:rsidRPr="00071438" w:rsidRDefault="00D75108" w:rsidP="00D75108">
      <w:pPr>
        <w:pStyle w:val="Textkrper"/>
        <w:spacing w:line="360" w:lineRule="auto"/>
        <w:ind w:right="567"/>
        <w:rPr>
          <w:rFonts w:ascii="Times New Roman" w:hAnsi="Times New Roman"/>
          <w:szCs w:val="24"/>
        </w:rPr>
      </w:pPr>
      <w:r>
        <w:rPr>
          <w:rFonts w:ascii="Times New Roman" w:hAnsi="Times New Roman"/>
          <w:szCs w:val="24"/>
        </w:rPr>
        <w:t xml:space="preserve">[...] </w:t>
      </w:r>
      <w:r w:rsidRPr="00071438">
        <w:rPr>
          <w:rFonts w:ascii="Times New Roman" w:hAnsi="Times New Roman"/>
          <w:szCs w:val="24"/>
        </w:rPr>
        <w:t>Wie unterscheidet sich phänomenal das, wovor die Angst sich ängstigt, von dem, wovor die Furcht sich fürchtet? Das Wovor der Angst ist kein innerweltliches Seiendes. Daher kann es damit wesenhaft keine Bewandtnis haben. […] Das Wovor der Angst ist völlig unbestimmt. Diese Unbestimmtheit lässt nicht nur faktisch unentschieden, welches innerweltliche Seiende droht, sondern besagt, dass überhaupt das innerweltliche Seiende nicht „relevant“ ist. Nichts von dem, was innerhalb der Welt zuhanden und vorhanden ist, fungiert als das, wovor die Angst sich ängstigt. Die innerweltlich entdeckte Bewandtnisganzheit des Zuhandenen und Vorhandenen ist als solche überhaupt ohne Belang. Sie sinkt in sich zusammen. Die Welt hat den Charakter völliger Unbedeutsamkeit. In der Angst begegnet nicht dieses oder jenes, mit dem es als Bedrohlichem eine Bewandtnis haben könnte.</w:t>
      </w:r>
    </w:p>
    <w:p w14:paraId="0F2FEA5E" w14:textId="77777777" w:rsidR="00D75108" w:rsidRPr="00071438" w:rsidRDefault="00D75108" w:rsidP="00D75108">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Daher „sieht“ die Angst auch nicht ein bestimmtes „Hier“ und „Dort“, aus dem her sich das Bedrohliche nähert. Dass das Bedrohliche </w:t>
      </w:r>
      <w:r w:rsidRPr="00071438">
        <w:rPr>
          <w:rFonts w:ascii="Times New Roman" w:hAnsi="Times New Roman"/>
          <w:i/>
          <w:sz w:val="24"/>
          <w:szCs w:val="24"/>
        </w:rPr>
        <w:t>nirgends</w:t>
      </w:r>
      <w:r w:rsidRPr="00071438">
        <w:rPr>
          <w:rFonts w:ascii="Times New Roman" w:hAnsi="Times New Roman"/>
          <w:sz w:val="24"/>
          <w:szCs w:val="24"/>
        </w:rPr>
        <w:t xml:space="preserve"> ist, charakterisiert das Wovor der Angst. Diese „weiß nicht“, was es ist, davor sie sich ängstigt. „Nirgends“ aber bedeutet nicht nichts, sondern darin liegt Gegend überhaupt, Erschlossenheit von Welt überhaupt für das wesenhaft räumliche In-Sein. Das Drohende kann sich deshalb auch nicht aus </w:t>
      </w:r>
      <w:r w:rsidRPr="00071438">
        <w:rPr>
          <w:rFonts w:ascii="Times New Roman" w:hAnsi="Times New Roman"/>
          <w:sz w:val="24"/>
          <w:szCs w:val="24"/>
        </w:rPr>
        <w:lastRenderedPageBreak/>
        <w:t>einer bestimmten Richtung her innerhalb der Nähe nähern, es ist schon „da“ – und doch nirgends, es ist so nah, dass es beengt und einem den Atem verschlägt – und doch nirgends.</w:t>
      </w:r>
    </w:p>
    <w:p w14:paraId="3C3ED3F1" w14:textId="77777777" w:rsidR="00D75108" w:rsidRPr="00071438" w:rsidRDefault="00D75108" w:rsidP="00D75108">
      <w:pPr>
        <w:pStyle w:val="Textkrper"/>
        <w:spacing w:line="360" w:lineRule="auto"/>
        <w:ind w:right="567" w:firstLine="210"/>
        <w:rPr>
          <w:rFonts w:ascii="Times New Roman" w:hAnsi="Times New Roman"/>
          <w:szCs w:val="24"/>
        </w:rPr>
      </w:pPr>
      <w:r w:rsidRPr="00071438">
        <w:rPr>
          <w:rFonts w:ascii="Times New Roman" w:hAnsi="Times New Roman"/>
          <w:szCs w:val="24"/>
        </w:rPr>
        <w:t xml:space="preserve">Im Wovor der Angst wird das „Nichts ist es und nirgends“ offenbar. Die Aufsässigkeit des innerweltlichen Nichts und Nirgends besagt phänomenal: </w:t>
      </w:r>
      <w:r w:rsidRPr="00071438">
        <w:rPr>
          <w:rFonts w:ascii="Times New Roman" w:hAnsi="Times New Roman"/>
          <w:i/>
          <w:szCs w:val="24"/>
        </w:rPr>
        <w:t xml:space="preserve">das Wovor der Angst ist die Welt als solche. </w:t>
      </w:r>
      <w:r w:rsidRPr="00071438">
        <w:rPr>
          <w:rFonts w:ascii="Times New Roman" w:hAnsi="Times New Roman"/>
          <w:szCs w:val="24"/>
        </w:rPr>
        <w:t xml:space="preserve">Die völlige Unbedeutsamkeit, die sich im Nichts und Nirgends bekundet, bedeutet nicht Weltabwesenheit, </w:t>
      </w:r>
      <w:proofErr w:type="gramStart"/>
      <w:r w:rsidRPr="00071438">
        <w:rPr>
          <w:rFonts w:ascii="Times New Roman" w:hAnsi="Times New Roman"/>
          <w:szCs w:val="24"/>
        </w:rPr>
        <w:t>sondern  besagt</w:t>
      </w:r>
      <w:proofErr w:type="gramEnd"/>
      <w:r w:rsidRPr="00071438">
        <w:rPr>
          <w:rFonts w:ascii="Times New Roman" w:hAnsi="Times New Roman"/>
          <w:szCs w:val="24"/>
        </w:rPr>
        <w:t>, dass das innerweltlich Seiende an ihm selbst so völlig belanglos ist, dass auf dem Grunde dieser Unbedeutsamkeit des Innerweltlichen die Welt in ihrer Weltlichkeit sich einzig noch aufdrängt.</w:t>
      </w:r>
    </w:p>
    <w:p w14:paraId="51559C71" w14:textId="77777777" w:rsidR="00D75108" w:rsidRPr="00071438" w:rsidRDefault="00D75108" w:rsidP="00D75108">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Was beengt, ist nicht dieses oder jenes, aber auch nicht alles Vorhandene zusammen, sondern die </w:t>
      </w:r>
      <w:r w:rsidRPr="00071438">
        <w:rPr>
          <w:rFonts w:ascii="Times New Roman" w:hAnsi="Times New Roman"/>
          <w:i/>
          <w:sz w:val="24"/>
          <w:szCs w:val="24"/>
        </w:rPr>
        <w:t>Möglichkeit</w:t>
      </w:r>
      <w:r w:rsidRPr="00071438">
        <w:rPr>
          <w:rFonts w:ascii="Times New Roman" w:hAnsi="Times New Roman"/>
          <w:sz w:val="24"/>
          <w:szCs w:val="24"/>
        </w:rPr>
        <w:t xml:space="preserve"> von Zuhandenem überhaupt, das heißt die Welt selbst. Wenn die Angst sich gelegt hat, dann pflegt die alltägliche Rede zu sagen: „es war eigentlich nichts“. Diese Rede trifft in der Tat ontisch das, </w:t>
      </w:r>
      <w:r w:rsidRPr="00071438">
        <w:rPr>
          <w:rFonts w:ascii="Times New Roman" w:hAnsi="Times New Roman"/>
          <w:i/>
          <w:sz w:val="24"/>
          <w:szCs w:val="24"/>
        </w:rPr>
        <w:t>was</w:t>
      </w:r>
      <w:r w:rsidRPr="00071438">
        <w:rPr>
          <w:rFonts w:ascii="Times New Roman" w:hAnsi="Times New Roman"/>
          <w:sz w:val="24"/>
          <w:szCs w:val="24"/>
        </w:rPr>
        <w:t xml:space="preserve"> es war. Die alltägliche Rede geht auf ein Besorgen und Bereden des Zuhandenen. Wovor die Angst sich ängstigt, ist nichts von dem innerweltlichen Zuhandenen. Allein dieses Nichts von Zuhandenem, das die alltägliche umsichtige Rede einzig versteht, ist kein totales Nichts. Das Nichts von Zuhandenem gründet im </w:t>
      </w:r>
      <w:proofErr w:type="gramStart"/>
      <w:r w:rsidRPr="00071438">
        <w:rPr>
          <w:rFonts w:ascii="Times New Roman" w:hAnsi="Times New Roman"/>
          <w:sz w:val="24"/>
          <w:szCs w:val="24"/>
        </w:rPr>
        <w:t>ursprünglichen</w:t>
      </w:r>
      <w:proofErr w:type="gramEnd"/>
      <w:r w:rsidRPr="00071438">
        <w:rPr>
          <w:rFonts w:ascii="Times New Roman" w:hAnsi="Times New Roman"/>
          <w:sz w:val="24"/>
          <w:szCs w:val="24"/>
        </w:rPr>
        <w:t xml:space="preserve"> „Etwas“, in der </w:t>
      </w:r>
      <w:r w:rsidRPr="00071438">
        <w:rPr>
          <w:rFonts w:ascii="Times New Roman" w:hAnsi="Times New Roman"/>
          <w:i/>
          <w:sz w:val="24"/>
          <w:szCs w:val="24"/>
        </w:rPr>
        <w:t>Welt</w:t>
      </w:r>
      <w:r w:rsidRPr="00071438">
        <w:rPr>
          <w:rFonts w:ascii="Times New Roman" w:hAnsi="Times New Roman"/>
          <w:sz w:val="24"/>
          <w:szCs w:val="24"/>
        </w:rPr>
        <w:t xml:space="preserve">. Diese jedoch gehört ontologisch wesenhaft zum Sein des Daseins als In-der-Welt-sein. Wenn sich demnach als das Wovor der Angst das Nichts, das heißt die Welt als solche herausstellt, dann besagt das: </w:t>
      </w:r>
      <w:r w:rsidRPr="00071438">
        <w:rPr>
          <w:rFonts w:ascii="Times New Roman" w:hAnsi="Times New Roman"/>
          <w:i/>
          <w:sz w:val="24"/>
          <w:szCs w:val="24"/>
        </w:rPr>
        <w:t xml:space="preserve">wovor die Angst sich ängstigt, ist das In-der-Welt-sein selbst. </w:t>
      </w:r>
      <w:r w:rsidRPr="00071438">
        <w:rPr>
          <w:rFonts w:ascii="Times New Roman" w:hAnsi="Times New Roman"/>
          <w:sz w:val="24"/>
          <w:szCs w:val="24"/>
        </w:rPr>
        <w:t>[…]</w:t>
      </w:r>
    </w:p>
    <w:p w14:paraId="5C5F775C" w14:textId="77777777" w:rsidR="00D75108" w:rsidRPr="00071438" w:rsidRDefault="00D75108" w:rsidP="00D75108">
      <w:pPr>
        <w:pStyle w:val="Textkrper"/>
        <w:spacing w:line="360" w:lineRule="auto"/>
        <w:ind w:right="567" w:firstLine="210"/>
        <w:rPr>
          <w:rFonts w:ascii="Times New Roman" w:hAnsi="Times New Roman"/>
          <w:szCs w:val="24"/>
        </w:rPr>
      </w:pPr>
      <w:r w:rsidRPr="00071438">
        <w:rPr>
          <w:rFonts w:ascii="Times New Roman" w:hAnsi="Times New Roman"/>
          <w:szCs w:val="24"/>
        </w:rPr>
        <w:t xml:space="preserve">Worum sich die Angst ängstigt, ist das In-der-Welt-sein selbst. In der Angst versinkt das umweltlich Zuhandene, überhaupt das innerweltlich Seiende. Die „Welt“ vermag nichts mehr zu bieten, ebenso wenig das Mitdasein Anderer. Die Angst benimmt so dem Dasein die Möglichkeit, verfallend sich aus der „Welt“ und der öffentlichen Angelegenheit zu verstehen. Sie wirft das Dasein auf das zurück, worum es sich ängstigt, sein eigentliches In-der-Welt-sein-können. Die Angst vereinzelt das Dasein auf sein eigenstes In-der-Welt-sein, das als verstehendes wesenhaft auf Möglichkeiten sich entwirft. Mit dem Worum des Sichängstigens erschießt daher die Angst das Dasein </w:t>
      </w:r>
      <w:r w:rsidRPr="00071438">
        <w:rPr>
          <w:rFonts w:ascii="Times New Roman" w:hAnsi="Times New Roman"/>
          <w:i/>
          <w:szCs w:val="24"/>
        </w:rPr>
        <w:t xml:space="preserve">als </w:t>
      </w:r>
      <w:proofErr w:type="gramStart"/>
      <w:r w:rsidRPr="00071438">
        <w:rPr>
          <w:rFonts w:ascii="Times New Roman" w:hAnsi="Times New Roman"/>
          <w:i/>
          <w:szCs w:val="24"/>
        </w:rPr>
        <w:t>Möglichsein</w:t>
      </w:r>
      <w:proofErr w:type="gramEnd"/>
      <w:r w:rsidRPr="00071438">
        <w:rPr>
          <w:rFonts w:ascii="Times New Roman" w:hAnsi="Times New Roman"/>
          <w:szCs w:val="24"/>
        </w:rPr>
        <w:t xml:space="preserve"> und zwar als das, das es einzig von ihm selbst her als vereinzeltes in der Vereinzelung sein kann.</w:t>
      </w:r>
    </w:p>
    <w:p w14:paraId="3094DA40" w14:textId="7ED131EC" w:rsidR="00D75108" w:rsidRPr="00071438" w:rsidRDefault="00D75108" w:rsidP="00D75108">
      <w:pPr>
        <w:pStyle w:val="Textkrper"/>
        <w:spacing w:line="360" w:lineRule="auto"/>
        <w:ind w:right="567" w:firstLine="210"/>
        <w:rPr>
          <w:rFonts w:ascii="Times New Roman" w:hAnsi="Times New Roman"/>
          <w:szCs w:val="24"/>
        </w:rPr>
      </w:pPr>
      <w:r w:rsidRPr="00071438">
        <w:rPr>
          <w:rFonts w:ascii="Times New Roman" w:hAnsi="Times New Roman"/>
          <w:szCs w:val="24"/>
        </w:rPr>
        <w:t xml:space="preserve">Die Angst offenbart im Dasein das </w:t>
      </w:r>
      <w:r w:rsidRPr="00071438">
        <w:rPr>
          <w:rFonts w:ascii="Times New Roman" w:hAnsi="Times New Roman"/>
          <w:i/>
          <w:szCs w:val="24"/>
        </w:rPr>
        <w:t>Sein zum</w:t>
      </w:r>
      <w:r w:rsidRPr="00071438">
        <w:rPr>
          <w:rFonts w:ascii="Times New Roman" w:hAnsi="Times New Roman"/>
          <w:szCs w:val="24"/>
        </w:rPr>
        <w:t xml:space="preserve"> eigenen Seinkönnen, das heißt das </w:t>
      </w:r>
      <w:r w:rsidRPr="00071438">
        <w:rPr>
          <w:rFonts w:ascii="Times New Roman" w:hAnsi="Times New Roman"/>
          <w:i/>
          <w:szCs w:val="24"/>
        </w:rPr>
        <w:t xml:space="preserve">Freisein für </w:t>
      </w:r>
      <w:r w:rsidRPr="00071438">
        <w:rPr>
          <w:rFonts w:ascii="Times New Roman" w:hAnsi="Times New Roman"/>
          <w:szCs w:val="24"/>
        </w:rPr>
        <w:t xml:space="preserve">die Freiheit des Sich-selbst-wählens und -ergreifens. Die Angst bringt das Dasein vor sein </w:t>
      </w:r>
      <w:r w:rsidRPr="00071438">
        <w:rPr>
          <w:rFonts w:ascii="Times New Roman" w:hAnsi="Times New Roman"/>
          <w:i/>
          <w:szCs w:val="24"/>
        </w:rPr>
        <w:t>Freisein für</w:t>
      </w:r>
      <w:r w:rsidRPr="00071438">
        <w:rPr>
          <w:rFonts w:ascii="Times New Roman" w:hAnsi="Times New Roman"/>
          <w:szCs w:val="24"/>
        </w:rPr>
        <w:t>… […] die Eigentlichkeit seines Seins als Möglichkeit, die es immer schon ist. Dieses Sein aber ist es zugleich, dem das Dasein als In-der-Welt-sein überantwortet ist.</w:t>
      </w:r>
    </w:p>
    <w:bookmarkEnd w:id="20"/>
    <w:bookmarkEnd w:id="21"/>
    <w:bookmarkEnd w:id="22"/>
    <w:bookmarkEnd w:id="23"/>
    <w:bookmarkEnd w:id="24"/>
    <w:bookmarkEnd w:id="25"/>
    <w:bookmarkEnd w:id="26"/>
    <w:bookmarkEnd w:id="27"/>
    <w:bookmarkEnd w:id="28"/>
    <w:bookmarkEnd w:id="29"/>
    <w:bookmarkEnd w:id="30"/>
    <w:bookmarkEnd w:id="31"/>
    <w:bookmarkEnd w:id="32"/>
    <w:bookmarkEnd w:id="33"/>
    <w:p w14:paraId="37434E48" w14:textId="77777777" w:rsidR="00D75108" w:rsidRDefault="00D75108" w:rsidP="00D75108">
      <w:pPr>
        <w:pStyle w:val="Quelle"/>
      </w:pPr>
      <w:r>
        <w:lastRenderedPageBreak/>
        <w:t>Quelle:</w:t>
      </w:r>
    </w:p>
    <w:p w14:paraId="5EF904B0" w14:textId="54E11D27" w:rsidR="00D75108" w:rsidRPr="005621ED" w:rsidRDefault="00D75108" w:rsidP="00D75108">
      <w:pPr>
        <w:pStyle w:val="Quellentext"/>
      </w:pPr>
      <w:r>
        <w:t xml:space="preserve">Martin Heidegger, Sein und Zeit (1926), Tübingen (Niemeyer) </w:t>
      </w:r>
      <w:r>
        <w:rPr>
          <w:vertAlign w:val="superscript"/>
        </w:rPr>
        <w:t>16</w:t>
      </w:r>
      <w:r>
        <w:t>1986, 186-188.</w:t>
      </w:r>
    </w:p>
    <w:sectPr w:rsidR="00D75108" w:rsidRPr="005621ED"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5F55" w14:textId="77777777" w:rsidR="00081C40" w:rsidRDefault="00081C40" w:rsidP="009042F2">
      <w:pPr>
        <w:spacing w:after="0" w:line="240" w:lineRule="auto"/>
      </w:pPr>
      <w:r>
        <w:separator/>
      </w:r>
    </w:p>
  </w:endnote>
  <w:endnote w:type="continuationSeparator" w:id="0">
    <w:p w14:paraId="5B69A938" w14:textId="77777777" w:rsidR="00081C40" w:rsidRDefault="00081C4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FFEFCF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339E1">
              <w:rPr>
                <w:bCs/>
                <w:noProof/>
                <w:sz w:val="16"/>
                <w:szCs w:val="16"/>
              </w:rPr>
              <w:t>Einführung in die Philosophie. Martin Heidegger - MB 412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675C" w14:textId="77777777" w:rsidR="00081C40" w:rsidRDefault="00081C40" w:rsidP="009042F2">
      <w:pPr>
        <w:spacing w:after="0" w:line="240" w:lineRule="auto"/>
      </w:pPr>
      <w:r>
        <w:separator/>
      </w:r>
    </w:p>
  </w:footnote>
  <w:footnote w:type="continuationSeparator" w:id="0">
    <w:p w14:paraId="629C9C15" w14:textId="77777777" w:rsidR="00081C40" w:rsidRDefault="00081C4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81C40"/>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93643"/>
    <w:rsid w:val="003A2EFF"/>
    <w:rsid w:val="003A7C4C"/>
    <w:rsid w:val="003B74B8"/>
    <w:rsid w:val="00400920"/>
    <w:rsid w:val="004064A8"/>
    <w:rsid w:val="00412FAA"/>
    <w:rsid w:val="004339E1"/>
    <w:rsid w:val="00441778"/>
    <w:rsid w:val="004544CF"/>
    <w:rsid w:val="004971B9"/>
    <w:rsid w:val="004D10D9"/>
    <w:rsid w:val="005118EC"/>
    <w:rsid w:val="00556DDB"/>
    <w:rsid w:val="005C31E5"/>
    <w:rsid w:val="005D369D"/>
    <w:rsid w:val="005D7F34"/>
    <w:rsid w:val="005F5FA3"/>
    <w:rsid w:val="006017A0"/>
    <w:rsid w:val="0063544C"/>
    <w:rsid w:val="00667FC6"/>
    <w:rsid w:val="00670BF4"/>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75108"/>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75108"/>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75108"/>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D75108"/>
    <w:pPr>
      <w:spacing w:before="600" w:after="120"/>
      <w:contextualSpacing/>
    </w:pPr>
    <w:rPr>
      <w:rFonts w:eastAsia="Calibri" w:cs="Times New Roman"/>
      <w:b/>
      <w:sz w:val="18"/>
    </w:rPr>
  </w:style>
  <w:style w:type="character" w:customStyle="1" w:styleId="QuelleZchn">
    <w:name w:val="Quelle Zchn"/>
    <w:basedOn w:val="Absatz-Standardschriftart"/>
    <w:link w:val="Quelle"/>
    <w:rsid w:val="00D75108"/>
    <w:rPr>
      <w:rFonts w:ascii="Times New Roman" w:eastAsia="Calibri" w:hAnsi="Times New Roman" w:cs="Times New Roman"/>
      <w:b/>
      <w:sz w:val="18"/>
    </w:rPr>
  </w:style>
  <w:style w:type="paragraph" w:customStyle="1" w:styleId="Quellentext">
    <w:name w:val="Quellentext"/>
    <w:basedOn w:val="Quelle"/>
    <w:link w:val="QuellentextZchn"/>
    <w:qFormat/>
    <w:rsid w:val="00D75108"/>
    <w:pPr>
      <w:numPr>
        <w:numId w:val="8"/>
      </w:numPr>
      <w:spacing w:before="0"/>
      <w:ind w:left="357" w:hanging="357"/>
      <w:contextualSpacing w:val="0"/>
    </w:pPr>
    <w:rPr>
      <w:b w:val="0"/>
    </w:rPr>
  </w:style>
  <w:style w:type="character" w:customStyle="1" w:styleId="QuellentextZchn">
    <w:name w:val="Quellentext Zchn"/>
    <w:basedOn w:val="QuelleZchn"/>
    <w:link w:val="Quellentext"/>
    <w:rsid w:val="00D75108"/>
    <w:rPr>
      <w:rFonts w:ascii="Times New Roman" w:eastAsia="Calibri" w:hAnsi="Times New Roman" w:cs="Times New Roman"/>
      <w:b w:val="0"/>
      <w:sz w:val="18"/>
    </w:rPr>
  </w:style>
  <w:style w:type="paragraph" w:styleId="Textkrper">
    <w:name w:val="Body Text"/>
    <w:basedOn w:val="Standard"/>
    <w:link w:val="TextkrperZchn"/>
    <w:uiPriority w:val="99"/>
    <w:unhideWhenUsed/>
    <w:rsid w:val="00D75108"/>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D75108"/>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D75108"/>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D75108"/>
    <w:rPr>
      <w:rFonts w:ascii="Calibri" w:eastAsia="Calibri" w:hAnsi="Calibri" w:cs="Times New Roman"/>
      <w:sz w:val="24"/>
    </w:rPr>
  </w:style>
  <w:style w:type="character" w:styleId="NichtaufgelsteErwhnung">
    <w:name w:val="Unresolved Mention"/>
    <w:basedOn w:val="Absatz-Standardschriftart"/>
    <w:uiPriority w:val="99"/>
    <w:semiHidden/>
    <w:unhideWhenUsed/>
    <w:rsid w:val="00D7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thoma.eu/wissenschaft/postphilosophie/erschlossenes-selbst-martin-heideg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2021-11-26T13:34:00Z</cp:lastPrinted>
  <dcterms:created xsi:type="dcterms:W3CDTF">2021-08-19T08:46:00Z</dcterms:created>
  <dcterms:modified xsi:type="dcterms:W3CDTF">2021-11-26T13:34:00Z</dcterms:modified>
</cp:coreProperties>
</file>