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B4D8E" w14:textId="35E7113C" w:rsidR="00C64E57" w:rsidRDefault="00DA283C" w:rsidP="00C64E57">
      <w:pPr>
        <w:spacing w:after="0"/>
        <w:rPr>
          <w:sz w:val="20"/>
        </w:rPr>
      </w:pPr>
      <w:r>
        <w:rPr>
          <w:sz w:val="20"/>
        </w:rPr>
        <w:t xml:space="preserve">Materialblatt </w:t>
      </w:r>
      <w:r w:rsidR="00FE1792">
        <w:rPr>
          <w:sz w:val="20"/>
        </w:rPr>
        <w:t>234</w:t>
      </w:r>
    </w:p>
    <w:p w14:paraId="441B389F" w14:textId="3BF9CDC3" w:rsidR="00E33A8F" w:rsidRDefault="008D6374" w:rsidP="00E33A8F">
      <w:pPr>
        <w:spacing w:after="0" w:line="240" w:lineRule="auto"/>
        <w:rPr>
          <w:sz w:val="20"/>
        </w:rPr>
      </w:pPr>
      <w:r w:rsidRPr="008D6374">
        <w:rPr>
          <w:sz w:val="20"/>
        </w:rPr>
        <w:t>Stichworte:</w:t>
      </w:r>
    </w:p>
    <w:p w14:paraId="1B4A00A2" w14:textId="77777777" w:rsidR="00EE06AA" w:rsidRDefault="00EE06AA" w:rsidP="0025218B">
      <w:pPr>
        <w:spacing w:after="0" w:line="240" w:lineRule="auto"/>
        <w:ind w:left="708"/>
        <w:rPr>
          <w:sz w:val="20"/>
        </w:rPr>
      </w:pPr>
      <w:r>
        <w:rPr>
          <w:sz w:val="20"/>
        </w:rPr>
        <w:t>Antisemitismus</w:t>
      </w:r>
    </w:p>
    <w:p w14:paraId="75098930" w14:textId="02233236" w:rsidR="0025218B" w:rsidRDefault="0025218B" w:rsidP="0025218B">
      <w:pPr>
        <w:spacing w:after="0" w:line="240" w:lineRule="auto"/>
        <w:ind w:left="708"/>
        <w:rPr>
          <w:sz w:val="20"/>
        </w:rPr>
      </w:pPr>
      <w:r>
        <w:rPr>
          <w:sz w:val="20"/>
        </w:rPr>
        <w:t>Arendt, Hannah</w:t>
      </w:r>
    </w:p>
    <w:p w14:paraId="09E0E316" w14:textId="77777777" w:rsidR="0025218B" w:rsidRDefault="0025218B" w:rsidP="0025218B">
      <w:pPr>
        <w:spacing w:after="0" w:line="240" w:lineRule="auto"/>
        <w:ind w:left="708"/>
        <w:rPr>
          <w:sz w:val="20"/>
        </w:rPr>
      </w:pPr>
      <w:r>
        <w:rPr>
          <w:sz w:val="20"/>
        </w:rPr>
        <w:t>Böse(s)</w:t>
      </w:r>
    </w:p>
    <w:p w14:paraId="13748528" w14:textId="77777777" w:rsidR="0025218B" w:rsidRDefault="0025218B" w:rsidP="0025218B">
      <w:pPr>
        <w:spacing w:after="0" w:line="240" w:lineRule="auto"/>
        <w:ind w:left="708"/>
        <w:rPr>
          <w:sz w:val="20"/>
        </w:rPr>
      </w:pPr>
      <w:r>
        <w:rPr>
          <w:sz w:val="20"/>
        </w:rPr>
        <w:t>Ethik</w:t>
      </w:r>
    </w:p>
    <w:p w14:paraId="782511EA" w14:textId="77777777" w:rsidR="0025218B" w:rsidRDefault="0025218B" w:rsidP="0025218B">
      <w:pPr>
        <w:spacing w:after="0" w:line="240" w:lineRule="auto"/>
        <w:ind w:left="708"/>
        <w:rPr>
          <w:sz w:val="20"/>
        </w:rPr>
      </w:pPr>
      <w:r>
        <w:rPr>
          <w:sz w:val="20"/>
        </w:rPr>
        <w:t>Israel</w:t>
      </w:r>
    </w:p>
    <w:p w14:paraId="412D3BAA" w14:textId="77777777" w:rsidR="0025218B" w:rsidRDefault="0025218B" w:rsidP="0025218B">
      <w:pPr>
        <w:spacing w:after="0" w:line="240" w:lineRule="auto"/>
        <w:ind w:left="708"/>
        <w:rPr>
          <w:sz w:val="20"/>
        </w:rPr>
      </w:pPr>
      <w:r>
        <w:rPr>
          <w:sz w:val="20"/>
        </w:rPr>
        <w:t>Judentum</w:t>
      </w:r>
    </w:p>
    <w:p w14:paraId="7F56B3C2" w14:textId="77777777" w:rsidR="0025218B" w:rsidRDefault="0025218B" w:rsidP="0025218B">
      <w:pPr>
        <w:spacing w:after="0" w:line="240" w:lineRule="auto"/>
        <w:ind w:left="708"/>
        <w:rPr>
          <w:sz w:val="20"/>
        </w:rPr>
      </w:pPr>
      <w:r>
        <w:rPr>
          <w:sz w:val="20"/>
        </w:rPr>
        <w:t>Nationalsozialismus</w:t>
      </w:r>
    </w:p>
    <w:p w14:paraId="3C3B12DC" w14:textId="77777777" w:rsidR="0025218B" w:rsidRDefault="0025218B" w:rsidP="0025218B">
      <w:pPr>
        <w:spacing w:after="0" w:line="240" w:lineRule="auto"/>
        <w:ind w:left="708"/>
        <w:rPr>
          <w:sz w:val="20"/>
        </w:rPr>
      </w:pPr>
      <w:r>
        <w:rPr>
          <w:sz w:val="20"/>
        </w:rPr>
        <w:t>Rechtsstaat</w:t>
      </w:r>
    </w:p>
    <w:p w14:paraId="414F65A7" w14:textId="77777777" w:rsidR="0025218B" w:rsidRDefault="0025218B" w:rsidP="008E0E32">
      <w:pPr>
        <w:spacing w:after="240" w:line="240" w:lineRule="auto"/>
        <w:ind w:left="708"/>
        <w:rPr>
          <w:sz w:val="20"/>
        </w:rPr>
      </w:pPr>
      <w:r>
        <w:rPr>
          <w:sz w:val="20"/>
        </w:rPr>
        <w:t>Schuld</w:t>
      </w:r>
    </w:p>
    <w:p w14:paraId="40E26796" w14:textId="77777777" w:rsidR="00FE1792" w:rsidRPr="00FE1792" w:rsidRDefault="00FE1792" w:rsidP="00FE1792">
      <w:pPr>
        <w:numPr>
          <w:ilvl w:val="1"/>
          <w:numId w:val="0"/>
        </w:numPr>
        <w:spacing w:after="480" w:line="240" w:lineRule="auto"/>
        <w:ind w:firstLine="284"/>
        <w:jc w:val="center"/>
        <w:rPr>
          <w:rFonts w:eastAsia="Calibri" w:cs="Times New Roman"/>
          <w:b/>
          <w:color w:val="5A5A5A"/>
          <w:spacing w:val="15"/>
          <w:sz w:val="44"/>
        </w:rPr>
      </w:pPr>
      <w:r w:rsidRPr="00FE1792">
        <w:rPr>
          <w:rFonts w:eastAsia="Calibri" w:cs="Times New Roman"/>
          <w:b/>
          <w:color w:val="5A5A5A"/>
          <w:spacing w:val="15"/>
          <w:sz w:val="44"/>
        </w:rPr>
        <w:t xml:space="preserve">Hannah Arendt. Eichmann in Jerusalem. Bericht über die Banalität des Bösen </w:t>
      </w:r>
    </w:p>
    <w:p w14:paraId="48ACBEF5" w14:textId="77777777" w:rsidR="00FE1792" w:rsidRPr="00FE1792" w:rsidRDefault="00FE1792" w:rsidP="00FE1792">
      <w:pPr>
        <w:spacing w:after="120" w:line="276" w:lineRule="auto"/>
        <w:rPr>
          <w:rFonts w:eastAsia="Calibri" w:cs="Times New Roman"/>
          <w:sz w:val="24"/>
        </w:rPr>
      </w:pPr>
      <w:r w:rsidRPr="00FE1792">
        <w:rPr>
          <w:rFonts w:eastAsia="Calibri" w:cs="Times New Roman"/>
          <w:sz w:val="24"/>
        </w:rPr>
        <w:t xml:space="preserve">Adolf Eichmann war ab 1934 im Sicherheitsdienst (SD) der ‚Schützenstaffel der NSDAP‘ (SS) tätig. Der SD hatte vor allem die Aufgabe, die Geheime Staatspolizei mit Nachrichten zu versorgen. Zu einer Verschmelzung von SS und ‚normaler‘ Polizei kam es erst im September 1939. Nach dem Anschluss Österreichs an Deutschland 1938 wurde Eichmann noch im März desselben Jahres nach Wien geschickt und dort mit der Planung und Organisation der ‚forcierten Auswanderung‘ der Juden aus dem damaligen Deutschen Reich betraut: Möglichst viele Juden sollten zunächst aus Österreich, sodann aus dem gesamten Reichsgebiet vertrieben werden. Nach Kriegsbeginn im September 1939 wuchs der territoriale Zuständigkeitsbereich Eichmanns um die neu eroberten Gebiete an. Seine Aufgabe bestand nun darin, den Transport der Juden in die Ghettos (Theresienstadt, Warschau) und in die Konzentrationslager zu organisieren. </w:t>
      </w:r>
    </w:p>
    <w:p w14:paraId="26269233" w14:textId="77777777" w:rsidR="00FE1792" w:rsidRPr="00FE1792" w:rsidRDefault="00FE1792" w:rsidP="00FE1792">
      <w:pPr>
        <w:spacing w:after="120" w:line="276" w:lineRule="auto"/>
        <w:ind w:firstLine="284"/>
        <w:rPr>
          <w:rFonts w:eastAsia="Calibri" w:cs="Times New Roman"/>
          <w:sz w:val="24"/>
        </w:rPr>
      </w:pPr>
      <w:r w:rsidRPr="00FE1792">
        <w:rPr>
          <w:rFonts w:eastAsia="Calibri" w:cs="Times New Roman"/>
          <w:sz w:val="24"/>
        </w:rPr>
        <w:t>In 15 Punkten erhob die Staatsanwaltschaft Anklage gegen Adolf Eichmann […], der am Abend des 11. Mai 1960 in einer Vorstadt von Buenos Aires gefangen und 9 Tage später im Flugzeug nach Israel gebracht worden war, um am 11. April 1961 vor das Bezirksgericht in Jerusalem gestellt zu werden. „Zusammen mit anderen“ hatte er während des Naziregimes, besonders aber während des Zweiten Weltkrieges, Verbrechen gegen das jüdische Volk, Verbrechen gegen die Menschheit und Kriegsverbrechen begangen. […] Auf jeden Punkt der Anklage antwortete Eichmann: „Im Sinne der Anklage nicht schuldig.“</w:t>
      </w:r>
    </w:p>
    <w:p w14:paraId="30C37629" w14:textId="77777777" w:rsidR="00FE1792" w:rsidRPr="00FE1792" w:rsidRDefault="00FE1792" w:rsidP="00FE1792">
      <w:pPr>
        <w:spacing w:after="120" w:line="276" w:lineRule="auto"/>
        <w:ind w:firstLine="284"/>
        <w:rPr>
          <w:rFonts w:eastAsia="Calibri" w:cs="Times New Roman"/>
          <w:sz w:val="24"/>
        </w:rPr>
      </w:pPr>
      <w:r w:rsidRPr="00FE1792">
        <w:rPr>
          <w:rFonts w:eastAsia="Calibri" w:cs="Times New Roman"/>
          <w:sz w:val="24"/>
        </w:rPr>
        <w:t xml:space="preserve">In welchem Sinne meinte er denn, schuldig zu sein? In dem langen Kreuzverhör des Angeklagten – er nannte es „das längste Kreuzverhör, das überhaupt bekannt ist“ – kam es weder dem Verteidiger noch dem </w:t>
      </w:r>
      <w:proofErr w:type="gramStart"/>
      <w:r w:rsidRPr="00FE1792">
        <w:rPr>
          <w:rFonts w:eastAsia="Calibri" w:cs="Times New Roman"/>
          <w:sz w:val="24"/>
        </w:rPr>
        <w:t>Ankläger,</w:t>
      </w:r>
      <w:proofErr w:type="gramEnd"/>
      <w:r w:rsidRPr="00FE1792">
        <w:rPr>
          <w:rFonts w:eastAsia="Calibri" w:cs="Times New Roman"/>
          <w:sz w:val="24"/>
        </w:rPr>
        <w:t xml:space="preserve"> noch schließlich einem der drei Richter in den Sinn, ihn danach zu fragen. […]Der Verteidigung  wäre es anscheinend […lieb] gewesen, wenn sich Eichmann bei seiner Erklärung, er sei nicht schuldig, darauf berufen hätte, dass er nach den seinerzeit gültigen Nazigesetzen nichts Strafbares getan hätte, dass die inkriminierten Handlungen nicht Verbrechen gewesen seien, sondern „Staatshandlungen, über die keinem anderen Staat Gerichtsbarkeit zusteht“ (par in </w:t>
      </w:r>
      <w:proofErr w:type="spellStart"/>
      <w:r w:rsidRPr="00FE1792">
        <w:rPr>
          <w:rFonts w:eastAsia="Calibri" w:cs="Times New Roman"/>
          <w:sz w:val="24"/>
        </w:rPr>
        <w:t>parem</w:t>
      </w:r>
      <w:proofErr w:type="spellEnd"/>
      <w:r w:rsidRPr="00FE1792">
        <w:rPr>
          <w:rFonts w:eastAsia="Calibri" w:cs="Times New Roman"/>
          <w:sz w:val="24"/>
        </w:rPr>
        <w:t xml:space="preserve"> </w:t>
      </w:r>
      <w:proofErr w:type="spellStart"/>
      <w:r w:rsidRPr="00FE1792">
        <w:rPr>
          <w:rFonts w:eastAsia="Calibri" w:cs="Times New Roman"/>
          <w:sz w:val="24"/>
        </w:rPr>
        <w:t>imperium</w:t>
      </w:r>
      <w:proofErr w:type="spellEnd"/>
      <w:r w:rsidRPr="00FE1792">
        <w:rPr>
          <w:rFonts w:eastAsia="Calibri" w:cs="Times New Roman"/>
          <w:sz w:val="24"/>
        </w:rPr>
        <w:t xml:space="preserve"> non habet), dass es seine Pflicht gewesen sei, zu gehorchen, und dass er, wie Dr. Servatius es in seinem Plädoyer zur Schuldfrage ausdrückte, getan habe, was seinerzeit als Tugend, doch nun „dem Sieger als Verbrechen“ galt: „Galgen oder Orden, das ist die Frage.“</w:t>
      </w:r>
    </w:p>
    <w:p w14:paraId="5598CF3F" w14:textId="77777777" w:rsidR="00FE1792" w:rsidRPr="00FE1792" w:rsidRDefault="00FE1792" w:rsidP="00FE1792">
      <w:pPr>
        <w:spacing w:after="120" w:line="276" w:lineRule="auto"/>
        <w:ind w:firstLine="284"/>
        <w:rPr>
          <w:rFonts w:eastAsia="Calibri" w:cs="Times New Roman"/>
          <w:sz w:val="24"/>
        </w:rPr>
      </w:pPr>
      <w:r w:rsidRPr="00FE1792">
        <w:rPr>
          <w:rFonts w:eastAsia="Calibri" w:cs="Times New Roman"/>
          <w:sz w:val="24"/>
        </w:rPr>
        <w:t xml:space="preserve">Eichmanns eigene Haltung war anders. Vor allem sei die Anklage wegen Mordes falsch: „Ich hatte mit der Tötung der Juden nichts zu tun. Ich habe niemals einen Juden getötet – ich habe überhaupt keinen Menschen getötet. Ich habe auch nie einen Befehl zum Töten eines </w:t>
      </w:r>
      <w:r w:rsidRPr="00FE1792">
        <w:rPr>
          <w:rFonts w:eastAsia="Calibri" w:cs="Times New Roman"/>
          <w:sz w:val="24"/>
        </w:rPr>
        <w:lastRenderedPageBreak/>
        <w:t xml:space="preserve">Juden gegeben, auch keinen Befehl zum Töten eines Nichtjuden … Habe ich nicht getan.“ Später kam er darauf noch einmal zurück: Es habe sich </w:t>
      </w:r>
      <w:proofErr w:type="spellStart"/>
      <w:r w:rsidRPr="00FE1792">
        <w:rPr>
          <w:rFonts w:eastAsia="Calibri" w:cs="Times New Roman"/>
          <w:sz w:val="24"/>
        </w:rPr>
        <w:t>eben so</w:t>
      </w:r>
      <w:proofErr w:type="spellEnd"/>
      <w:r w:rsidRPr="00FE1792">
        <w:rPr>
          <w:rFonts w:eastAsia="Calibri" w:cs="Times New Roman"/>
          <w:sz w:val="24"/>
        </w:rPr>
        <w:t xml:space="preserve"> ergeben, dass er es niemals tun musste, denn er ließ keinen Zweifel daran aufkommen, dass er seinen eigenen Vater getötet hätte, wenn es ihm befohlen worden wäre. In endlosen Wiederholungen erklärte er […]: Man könne ihn nur anklagen der „Beihilfe“ zur Vernichtung der Juden, die er in Jerusalem „eines der kapitalsten Verbrechen innerhalb der Menschheitsgeschichte“ nannte. […]</w:t>
      </w:r>
    </w:p>
    <w:p w14:paraId="6253813F" w14:textId="77777777" w:rsidR="00FE1792" w:rsidRPr="00FE1792" w:rsidRDefault="00FE1792" w:rsidP="00FE1792">
      <w:pPr>
        <w:spacing w:after="360" w:line="276" w:lineRule="auto"/>
        <w:ind w:firstLine="284"/>
        <w:rPr>
          <w:rFonts w:eastAsia="Calibri" w:cs="Times New Roman"/>
          <w:sz w:val="24"/>
        </w:rPr>
      </w:pPr>
      <w:r w:rsidRPr="00FE1792">
        <w:rPr>
          <w:rFonts w:eastAsia="Calibri" w:cs="Times New Roman"/>
          <w:sz w:val="24"/>
        </w:rPr>
        <w:t>Ob er sich schuldig bekannt hätte, wenn er der Beihilfe zum Mord angeklagt worden wäre? Vielleicht, doch hätte er wesentliche Einschränkungen gemacht. Was er getan hatte, war nur im Nachhinein ein Verbrechen; er war immer ein gesetzestreuer Bürger gewesen, Hitlers Befehle, die er nach bestem Vermögen befolgt hatte, besaßen im Dritten Reich „Gesetzeskraft“. […] Was er getan habe, habe er getan, er wolle nichts abstreiten; vielmehr sei er bereit, „als abschreckendes Beispiel für alle Antisemiten der Länder dieser Erde“ sich selbst öffentlich zu erhängen. Dies aber hieße nicht, dass er etwas bereue: „Reue ist etwas für kleine Kinder.“</w:t>
      </w:r>
    </w:p>
    <w:p w14:paraId="3892342A" w14:textId="77777777" w:rsidR="00FE1792" w:rsidRPr="00FE1792" w:rsidRDefault="00FE1792" w:rsidP="00FE1792">
      <w:pPr>
        <w:spacing w:before="600" w:after="120" w:line="240" w:lineRule="auto"/>
        <w:contextualSpacing/>
        <w:rPr>
          <w:rFonts w:eastAsia="Calibri" w:cs="Times New Roman"/>
          <w:b/>
          <w:sz w:val="18"/>
        </w:rPr>
      </w:pPr>
      <w:r w:rsidRPr="00FE1792">
        <w:rPr>
          <w:rFonts w:eastAsia="Calibri" w:cs="Times New Roman"/>
          <w:b/>
          <w:sz w:val="18"/>
        </w:rPr>
        <w:t>Quelle:</w:t>
      </w:r>
    </w:p>
    <w:p w14:paraId="5BE806C6" w14:textId="77777777" w:rsidR="00FE1792" w:rsidRPr="00FE1792" w:rsidRDefault="00FE1792" w:rsidP="00FE1792">
      <w:pPr>
        <w:pStyle w:val="Listenabsatz"/>
        <w:numPr>
          <w:ilvl w:val="0"/>
          <w:numId w:val="8"/>
        </w:numPr>
        <w:spacing w:after="120" w:line="240" w:lineRule="auto"/>
        <w:rPr>
          <w:rFonts w:eastAsia="Calibri" w:cs="Times New Roman"/>
          <w:sz w:val="18"/>
        </w:rPr>
      </w:pPr>
      <w:r w:rsidRPr="00FE1792">
        <w:rPr>
          <w:rFonts w:eastAsia="Calibri" w:cs="Times New Roman"/>
          <w:sz w:val="18"/>
        </w:rPr>
        <w:t>Arendt, Hannah: Eichmann in Jerusalem. Ein Bericht über die Banalität des Bösen, München (1964) 32008, S. 93-97.</w:t>
      </w:r>
    </w:p>
    <w:p w14:paraId="6F58B9C3" w14:textId="77777777" w:rsidR="00FE1792" w:rsidRPr="00FE1792" w:rsidRDefault="00FE1792" w:rsidP="00FE1792">
      <w:pPr>
        <w:spacing w:before="240" w:after="120" w:line="240" w:lineRule="auto"/>
        <w:rPr>
          <w:rFonts w:eastAsia="Calibri" w:cs="Times New Roman"/>
          <w:b/>
          <w:sz w:val="20"/>
        </w:rPr>
      </w:pPr>
      <w:r w:rsidRPr="00FE1792">
        <w:rPr>
          <w:rFonts w:eastAsia="Calibri" w:cs="Times New Roman"/>
          <w:b/>
          <w:sz w:val="20"/>
        </w:rPr>
        <w:t>Literaturhinweise:</w:t>
      </w:r>
    </w:p>
    <w:p w14:paraId="39DB53E5" w14:textId="77777777" w:rsidR="00FE1792" w:rsidRPr="00FE1792" w:rsidRDefault="00FE1792" w:rsidP="00FE1792">
      <w:pPr>
        <w:pStyle w:val="Listenabsatz"/>
        <w:numPr>
          <w:ilvl w:val="0"/>
          <w:numId w:val="8"/>
        </w:numPr>
        <w:spacing w:after="120" w:line="240" w:lineRule="auto"/>
        <w:rPr>
          <w:rFonts w:eastAsia="Calibri" w:cs="Times New Roman"/>
          <w:sz w:val="18"/>
        </w:rPr>
      </w:pPr>
      <w:proofErr w:type="spellStart"/>
      <w:r w:rsidRPr="00FE1792">
        <w:rPr>
          <w:rFonts w:eastAsia="Calibri" w:cs="Times New Roman"/>
          <w:sz w:val="18"/>
        </w:rPr>
        <w:t>Sachslehner</w:t>
      </w:r>
      <w:proofErr w:type="spellEnd"/>
      <w:r w:rsidRPr="00FE1792">
        <w:rPr>
          <w:rFonts w:eastAsia="Calibri" w:cs="Times New Roman"/>
          <w:sz w:val="18"/>
        </w:rPr>
        <w:t>, Johannes: Der Tod ist ein Meister aus Wien. Leben und Taten des Amon Leopold Göth. Die Geschichte des KZ-Kommandanten aus ‚Schindlers Liste‘, Wien (Styria) 2008.</w:t>
      </w:r>
    </w:p>
    <w:p w14:paraId="2E2E3AF4" w14:textId="77777777" w:rsidR="00FE1792" w:rsidRPr="00FE1792" w:rsidRDefault="00FE1792" w:rsidP="00FE1792">
      <w:pPr>
        <w:pStyle w:val="Listenabsatz"/>
        <w:numPr>
          <w:ilvl w:val="0"/>
          <w:numId w:val="8"/>
        </w:numPr>
        <w:spacing w:after="120" w:line="240" w:lineRule="auto"/>
        <w:rPr>
          <w:rFonts w:eastAsia="Calibri" w:cs="Times New Roman"/>
          <w:sz w:val="18"/>
        </w:rPr>
      </w:pPr>
      <w:r w:rsidRPr="00FE1792">
        <w:rPr>
          <w:rFonts w:eastAsia="Calibri" w:cs="Times New Roman"/>
          <w:sz w:val="18"/>
        </w:rPr>
        <w:t xml:space="preserve">Zentner, Christian: Adolf Hitlers ‚Mein Kampf‘. Eine kommentierte Auswahl (1992), München (List) </w:t>
      </w:r>
      <w:r w:rsidRPr="00FE1792">
        <w:rPr>
          <w:rFonts w:eastAsia="Calibri" w:cs="Times New Roman"/>
          <w:sz w:val="18"/>
          <w:vertAlign w:val="superscript"/>
        </w:rPr>
        <w:t>19</w:t>
      </w:r>
      <w:r w:rsidRPr="00FE1792">
        <w:rPr>
          <w:rFonts w:eastAsia="Calibri" w:cs="Times New Roman"/>
          <w:sz w:val="18"/>
        </w:rPr>
        <w:t>2007.</w:t>
      </w:r>
    </w:p>
    <w:p w14:paraId="7A0376D4" w14:textId="77777777" w:rsidR="00FE1792" w:rsidRPr="00FE1792" w:rsidRDefault="00FE1792" w:rsidP="00FE1792">
      <w:pPr>
        <w:spacing w:before="360" w:after="120" w:line="240" w:lineRule="auto"/>
        <w:rPr>
          <w:rFonts w:eastAsia="Calibri" w:cs="Times New Roman"/>
          <w:b/>
          <w:bCs/>
          <w:sz w:val="24"/>
          <w:szCs w:val="24"/>
        </w:rPr>
      </w:pPr>
      <w:r w:rsidRPr="00FE1792">
        <w:rPr>
          <w:rFonts w:eastAsia="Calibri" w:cs="Times New Roman"/>
          <w:b/>
          <w:bCs/>
          <w:sz w:val="24"/>
          <w:szCs w:val="24"/>
        </w:rPr>
        <w:t>Aufgaben:</w:t>
      </w:r>
    </w:p>
    <w:p w14:paraId="71F2974D" w14:textId="77777777" w:rsidR="00FE1792" w:rsidRPr="00FE1792" w:rsidRDefault="00FE1792" w:rsidP="00FE1792">
      <w:pPr>
        <w:pStyle w:val="Listenabsatz"/>
        <w:numPr>
          <w:ilvl w:val="0"/>
          <w:numId w:val="9"/>
        </w:numPr>
        <w:spacing w:after="120" w:line="240" w:lineRule="auto"/>
        <w:ind w:left="714" w:hanging="357"/>
        <w:contextualSpacing w:val="0"/>
        <w:rPr>
          <w:rFonts w:eastAsia="Calibri" w:cs="Times New Roman"/>
          <w:sz w:val="24"/>
        </w:rPr>
      </w:pPr>
      <w:r w:rsidRPr="00FE1792">
        <w:rPr>
          <w:rFonts w:eastAsia="Calibri" w:cs="Times New Roman"/>
          <w:sz w:val="24"/>
        </w:rPr>
        <w:t xml:space="preserve">Lege die historischen Hintergründe und den Anlass von Hannah Arendts „Eichmann in Jerusalem. Ein Bericht über die Banalität des Bösen“ dar. </w:t>
      </w:r>
      <w:r w:rsidRPr="00FE1792">
        <w:rPr>
          <w:rFonts w:eastAsia="Calibri" w:cs="Times New Roman"/>
          <w:sz w:val="20"/>
          <w:szCs w:val="18"/>
        </w:rPr>
        <w:t>[Reproduktion]</w:t>
      </w:r>
    </w:p>
    <w:p w14:paraId="02A36195" w14:textId="77777777" w:rsidR="00FE1792" w:rsidRPr="00FE1792" w:rsidRDefault="00FE1792" w:rsidP="00FE1792">
      <w:pPr>
        <w:pStyle w:val="Listenabsatz"/>
        <w:numPr>
          <w:ilvl w:val="0"/>
          <w:numId w:val="9"/>
        </w:numPr>
        <w:spacing w:after="120" w:line="240" w:lineRule="auto"/>
        <w:ind w:left="714" w:hanging="357"/>
        <w:contextualSpacing w:val="0"/>
        <w:rPr>
          <w:rFonts w:eastAsia="Calibri" w:cs="Times New Roman"/>
          <w:sz w:val="20"/>
          <w:szCs w:val="18"/>
        </w:rPr>
      </w:pPr>
      <w:r w:rsidRPr="00FE1792">
        <w:rPr>
          <w:rFonts w:eastAsia="Calibri" w:cs="Times New Roman"/>
          <w:sz w:val="24"/>
        </w:rPr>
        <w:t xml:space="preserve">Expliziere Arendts Begründung, hier von einer ‚Banalität‘ zu sprechen. </w:t>
      </w:r>
      <w:r w:rsidRPr="00FE1792">
        <w:rPr>
          <w:rFonts w:eastAsia="Calibri" w:cs="Times New Roman"/>
          <w:sz w:val="20"/>
          <w:szCs w:val="18"/>
        </w:rPr>
        <w:t>[Reproduktion]</w:t>
      </w:r>
    </w:p>
    <w:p w14:paraId="50E3474D" w14:textId="77777777" w:rsidR="00FE1792" w:rsidRPr="00FE1792" w:rsidRDefault="00FE1792" w:rsidP="00FE1792">
      <w:pPr>
        <w:pStyle w:val="Listenabsatz"/>
        <w:numPr>
          <w:ilvl w:val="0"/>
          <w:numId w:val="9"/>
        </w:numPr>
        <w:spacing w:after="120" w:line="240" w:lineRule="auto"/>
        <w:ind w:left="714" w:hanging="357"/>
        <w:contextualSpacing w:val="0"/>
        <w:rPr>
          <w:rFonts w:eastAsia="Calibri" w:cs="Times New Roman"/>
          <w:sz w:val="24"/>
        </w:rPr>
      </w:pPr>
      <w:r w:rsidRPr="00FE1792">
        <w:rPr>
          <w:rFonts w:eastAsia="Calibri" w:cs="Times New Roman"/>
          <w:sz w:val="24"/>
        </w:rPr>
        <w:t xml:space="preserve">Begründe in Bezugnahme auf </w:t>
      </w:r>
      <w:proofErr w:type="spellStart"/>
      <w:r w:rsidRPr="00FE1792">
        <w:rPr>
          <w:rFonts w:eastAsia="Calibri" w:cs="Times New Roman"/>
          <w:sz w:val="24"/>
        </w:rPr>
        <w:t>Mt</w:t>
      </w:r>
      <w:proofErr w:type="spellEnd"/>
      <w:r w:rsidRPr="00FE1792">
        <w:rPr>
          <w:rFonts w:eastAsia="Calibri" w:cs="Times New Roman"/>
          <w:sz w:val="24"/>
        </w:rPr>
        <w:t xml:space="preserve"> 6,19-21, dass die von Hannah Arendt ausgesprochene Lektion für viele Menschen so schwer zu lernen ist: </w:t>
      </w:r>
      <w:proofErr w:type="gramStart"/>
      <w:r w:rsidRPr="00FE1792">
        <w:rPr>
          <w:rFonts w:eastAsia="Calibri" w:cs="Times New Roman"/>
          <w:sz w:val="24"/>
        </w:rPr>
        <w:t>„</w:t>
      </w:r>
      <w:proofErr w:type="gramEnd"/>
      <w:r w:rsidRPr="00FE1792">
        <w:rPr>
          <w:rFonts w:eastAsia="Calibri" w:cs="Times New Roman"/>
          <w:sz w:val="24"/>
        </w:rPr>
        <w:t xml:space="preserve">Dass eine solche Realitätsferne und Gedankenlosigkeit in einem mehr Unheil anrichten können als alle die dem Menschen vielleicht innewohnenden bösen Triebe zusammengenommen, das war in der Tat die Lektion, die man in Jerusalem lernen konnte.“ </w:t>
      </w:r>
      <w:r w:rsidRPr="00FE1792">
        <w:rPr>
          <w:rFonts w:eastAsia="Calibri" w:cs="Times New Roman"/>
          <w:sz w:val="20"/>
          <w:szCs w:val="18"/>
        </w:rPr>
        <w:t>[Transfer]</w:t>
      </w:r>
    </w:p>
    <w:p w14:paraId="532A14B6" w14:textId="1088B3C5" w:rsidR="00B3685C" w:rsidRPr="00FE1792" w:rsidRDefault="00FE1792" w:rsidP="00FE1792">
      <w:pPr>
        <w:pStyle w:val="Listenabsatz"/>
        <w:numPr>
          <w:ilvl w:val="0"/>
          <w:numId w:val="9"/>
        </w:numPr>
        <w:spacing w:after="120" w:line="240" w:lineRule="auto"/>
        <w:ind w:left="714" w:hanging="357"/>
        <w:contextualSpacing w:val="0"/>
        <w:rPr>
          <w:rFonts w:eastAsia="Calibri" w:cs="Times New Roman"/>
          <w:sz w:val="24"/>
        </w:rPr>
      </w:pPr>
      <w:r w:rsidRPr="00FE1792">
        <w:rPr>
          <w:rFonts w:eastAsia="Calibri" w:cs="Times New Roman"/>
          <w:sz w:val="24"/>
        </w:rPr>
        <w:t xml:space="preserve">Häufig wird, besonders im vor-philosophischen und vor-theologischen Sprechen, darüber gestritten, ob der Mensch ‚von Natur aus gut‘ oder aber ‚von Natur aus böse‘ ist. Nimm in systematischer Argumentation Stellung. </w:t>
      </w:r>
      <w:r w:rsidRPr="00FE1792">
        <w:rPr>
          <w:rFonts w:eastAsia="Calibri" w:cs="Times New Roman"/>
          <w:sz w:val="20"/>
          <w:szCs w:val="18"/>
        </w:rPr>
        <w:t>[Denken/Reflexion]</w:t>
      </w:r>
    </w:p>
    <w:sectPr w:rsidR="00B3685C" w:rsidRPr="00FE1792" w:rsidSect="00E33A8F">
      <w:headerReference w:type="default" r:id="rId8"/>
      <w:footerReference w:type="default" r:id="rId9"/>
      <w:pgSz w:w="11906" w:h="16838"/>
      <w:pgMar w:top="851" w:right="1418" w:bottom="1134" w:left="1418" w:header="284" w:footer="34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FCF181" w14:textId="77777777" w:rsidR="00145B90" w:rsidRDefault="00145B90" w:rsidP="009042F2">
      <w:pPr>
        <w:spacing w:after="0" w:line="240" w:lineRule="auto"/>
      </w:pPr>
      <w:r>
        <w:separator/>
      </w:r>
    </w:p>
  </w:endnote>
  <w:endnote w:type="continuationSeparator" w:id="0">
    <w:p w14:paraId="748873A6" w14:textId="77777777" w:rsidR="00145B90" w:rsidRDefault="00145B90" w:rsidP="00904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919125"/>
      <w:docPartObj>
        <w:docPartGallery w:val="Page Numbers (Bottom of Page)"/>
        <w:docPartUnique/>
      </w:docPartObj>
    </w:sdtPr>
    <w:sdtEndPr/>
    <w:sdtContent>
      <w:sdt>
        <w:sdtPr>
          <w:id w:val="-1769616900"/>
          <w:docPartObj>
            <w:docPartGallery w:val="Page Numbers (Top of Page)"/>
            <w:docPartUnique/>
          </w:docPartObj>
        </w:sdtPr>
        <w:sdtEndPr/>
        <w:sdtContent>
          <w:p w14:paraId="3DCB4C5A" w14:textId="77777777" w:rsidR="007E1C18" w:rsidRDefault="007E1C18" w:rsidP="007E1C18">
            <w:pPr>
              <w:pStyle w:val="Fuzeile"/>
              <w:jc w:val="right"/>
              <w:rPr>
                <w:bCs/>
                <w:sz w:val="16"/>
                <w:szCs w:val="16"/>
              </w:rPr>
            </w:pPr>
            <w:r w:rsidRPr="009042F2">
              <w:rPr>
                <w:sz w:val="16"/>
                <w:szCs w:val="16"/>
                <w:lang w:val="de-DE"/>
              </w:rPr>
              <w:t xml:space="preserve">Seite </w:t>
            </w:r>
            <w:r w:rsidRPr="009042F2">
              <w:rPr>
                <w:bCs/>
                <w:sz w:val="16"/>
                <w:szCs w:val="16"/>
              </w:rPr>
              <w:fldChar w:fldCharType="begin"/>
            </w:r>
            <w:r w:rsidRPr="009042F2">
              <w:rPr>
                <w:bCs/>
                <w:sz w:val="16"/>
                <w:szCs w:val="16"/>
              </w:rPr>
              <w:instrText>PAGE</w:instrText>
            </w:r>
            <w:r w:rsidRPr="009042F2">
              <w:rPr>
                <w:bCs/>
                <w:sz w:val="16"/>
                <w:szCs w:val="16"/>
              </w:rPr>
              <w:fldChar w:fldCharType="separate"/>
            </w:r>
            <w:r w:rsidR="00DA283C">
              <w:rPr>
                <w:bCs/>
                <w:noProof/>
                <w:sz w:val="16"/>
                <w:szCs w:val="16"/>
              </w:rPr>
              <w:t>1</w:t>
            </w:r>
            <w:r w:rsidRPr="009042F2">
              <w:rPr>
                <w:bCs/>
                <w:sz w:val="16"/>
                <w:szCs w:val="16"/>
              </w:rPr>
              <w:fldChar w:fldCharType="end"/>
            </w:r>
            <w:r w:rsidRPr="009042F2">
              <w:rPr>
                <w:sz w:val="16"/>
                <w:szCs w:val="16"/>
                <w:lang w:val="de-DE"/>
              </w:rPr>
              <w:t xml:space="preserve"> von </w:t>
            </w:r>
            <w:r w:rsidRPr="009042F2">
              <w:rPr>
                <w:bCs/>
                <w:sz w:val="16"/>
                <w:szCs w:val="16"/>
              </w:rPr>
              <w:fldChar w:fldCharType="begin"/>
            </w:r>
            <w:r w:rsidRPr="009042F2">
              <w:rPr>
                <w:bCs/>
                <w:sz w:val="16"/>
                <w:szCs w:val="16"/>
              </w:rPr>
              <w:instrText>NUMPAGES</w:instrText>
            </w:r>
            <w:r w:rsidRPr="009042F2">
              <w:rPr>
                <w:bCs/>
                <w:sz w:val="16"/>
                <w:szCs w:val="16"/>
              </w:rPr>
              <w:fldChar w:fldCharType="separate"/>
            </w:r>
            <w:r w:rsidR="00DA283C">
              <w:rPr>
                <w:bCs/>
                <w:noProof/>
                <w:sz w:val="16"/>
                <w:szCs w:val="16"/>
              </w:rPr>
              <w:t>1</w:t>
            </w:r>
            <w:r w:rsidRPr="009042F2">
              <w:rPr>
                <w:bCs/>
                <w:sz w:val="16"/>
                <w:szCs w:val="16"/>
              </w:rPr>
              <w:fldChar w:fldCharType="end"/>
            </w:r>
          </w:p>
          <w:p w14:paraId="3B3CF648" w14:textId="44ECF1E0" w:rsidR="007E1C18" w:rsidRDefault="007E1C18" w:rsidP="007E1C18">
            <w:pPr>
              <w:pStyle w:val="Fuzeile"/>
              <w:jc w:val="right"/>
            </w:pPr>
            <w:r>
              <w:rPr>
                <w:bCs/>
                <w:sz w:val="16"/>
                <w:szCs w:val="16"/>
              </w:rPr>
              <w:fldChar w:fldCharType="begin"/>
            </w:r>
            <w:r>
              <w:rPr>
                <w:bCs/>
                <w:sz w:val="16"/>
                <w:szCs w:val="16"/>
              </w:rPr>
              <w:instrText xml:space="preserve"> FILENAME \* MERGEFORMAT </w:instrText>
            </w:r>
            <w:r>
              <w:rPr>
                <w:bCs/>
                <w:sz w:val="16"/>
                <w:szCs w:val="16"/>
              </w:rPr>
              <w:fldChar w:fldCharType="separate"/>
            </w:r>
            <w:r w:rsidR="001612DB">
              <w:rPr>
                <w:bCs/>
                <w:noProof/>
                <w:sz w:val="16"/>
                <w:szCs w:val="16"/>
              </w:rPr>
              <w:t>Hannah Arendt. Eichmann in Jerusalem. Ein Bericht über die Banalität des Bösen - MB 234</w:t>
            </w:r>
            <w:r>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3A55FA" w14:textId="77777777" w:rsidR="00145B90" w:rsidRDefault="00145B90" w:rsidP="009042F2">
      <w:pPr>
        <w:spacing w:after="0" w:line="240" w:lineRule="auto"/>
      </w:pPr>
      <w:r>
        <w:separator/>
      </w:r>
    </w:p>
  </w:footnote>
  <w:footnote w:type="continuationSeparator" w:id="0">
    <w:p w14:paraId="7FD1CFEC" w14:textId="77777777" w:rsidR="00145B90" w:rsidRDefault="00145B90" w:rsidP="009042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DB2E2" w14:textId="77777777" w:rsidR="007E1C18" w:rsidRPr="007E1C18" w:rsidRDefault="007E1C18">
    <w:pPr>
      <w:pStyle w:val="Kopfzeile"/>
      <w:rPr>
        <w:sz w:val="20"/>
      </w:rPr>
    </w:pPr>
    <w:r w:rsidRPr="009042F2">
      <w:rPr>
        <w:sz w:val="20"/>
      </w:rPr>
      <w:t xml:space="preserve">UR-Behelfe Schulamt Innsbruck – FI </w:t>
    </w:r>
    <w:r>
      <w:rPr>
        <w:sz w:val="20"/>
      </w:rPr>
      <w:t xml:space="preserve">Dr. </w:t>
    </w:r>
    <w:r w:rsidRPr="009042F2">
      <w:rPr>
        <w:sz w:val="20"/>
      </w:rPr>
      <w:t>Christoph Thoma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5775E"/>
    <w:multiLevelType w:val="multilevel"/>
    <w:tmpl w:val="753868B6"/>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06DF586C"/>
    <w:multiLevelType w:val="hybridMultilevel"/>
    <w:tmpl w:val="002A8C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A4751CD"/>
    <w:multiLevelType w:val="hybridMultilevel"/>
    <w:tmpl w:val="76EA70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4162016"/>
    <w:multiLevelType w:val="hybridMultilevel"/>
    <w:tmpl w:val="7B3667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AB8703F"/>
    <w:multiLevelType w:val="hybridMultilevel"/>
    <w:tmpl w:val="BDE6B9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4DED50C5"/>
    <w:multiLevelType w:val="hybridMultilevel"/>
    <w:tmpl w:val="4E8A94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941066A"/>
    <w:multiLevelType w:val="hybridMultilevel"/>
    <w:tmpl w:val="A1FA7A0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6"/>
  </w:num>
  <w:num w:numId="5">
    <w:abstractNumId w:val="2"/>
  </w:num>
  <w:num w:numId="6">
    <w:abstractNumId w:val="4"/>
  </w:num>
  <w:num w:numId="7">
    <w:abstractNumId w:val="5"/>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778"/>
    <w:rsid w:val="00025F5D"/>
    <w:rsid w:val="000530E5"/>
    <w:rsid w:val="000653E3"/>
    <w:rsid w:val="0008119F"/>
    <w:rsid w:val="000A307D"/>
    <w:rsid w:val="000B279E"/>
    <w:rsid w:val="000D5104"/>
    <w:rsid w:val="000E2AB0"/>
    <w:rsid w:val="000F2730"/>
    <w:rsid w:val="001417AC"/>
    <w:rsid w:val="001437C1"/>
    <w:rsid w:val="00145B90"/>
    <w:rsid w:val="001612DB"/>
    <w:rsid w:val="001873D9"/>
    <w:rsid w:val="001C6B92"/>
    <w:rsid w:val="001D1A9E"/>
    <w:rsid w:val="001E38EA"/>
    <w:rsid w:val="0020430A"/>
    <w:rsid w:val="0025218B"/>
    <w:rsid w:val="002865E0"/>
    <w:rsid w:val="0029037A"/>
    <w:rsid w:val="002C5206"/>
    <w:rsid w:val="00312588"/>
    <w:rsid w:val="00326301"/>
    <w:rsid w:val="00391964"/>
    <w:rsid w:val="003A0E02"/>
    <w:rsid w:val="003A2EFF"/>
    <w:rsid w:val="003A7C4C"/>
    <w:rsid w:val="003B74B8"/>
    <w:rsid w:val="00400920"/>
    <w:rsid w:val="004064A8"/>
    <w:rsid w:val="00412FAA"/>
    <w:rsid w:val="00441778"/>
    <w:rsid w:val="004544CF"/>
    <w:rsid w:val="004971B9"/>
    <w:rsid w:val="005118EC"/>
    <w:rsid w:val="0055696A"/>
    <w:rsid w:val="00556DDB"/>
    <w:rsid w:val="005C31E5"/>
    <w:rsid w:val="005D369D"/>
    <w:rsid w:val="005D7F34"/>
    <w:rsid w:val="005F5FA3"/>
    <w:rsid w:val="0063544C"/>
    <w:rsid w:val="00667FC6"/>
    <w:rsid w:val="006B741C"/>
    <w:rsid w:val="006D7E75"/>
    <w:rsid w:val="00773F59"/>
    <w:rsid w:val="007D0EAE"/>
    <w:rsid w:val="007E1C18"/>
    <w:rsid w:val="007F771A"/>
    <w:rsid w:val="00812352"/>
    <w:rsid w:val="008826BC"/>
    <w:rsid w:val="008B48FA"/>
    <w:rsid w:val="008B705F"/>
    <w:rsid w:val="008D28EB"/>
    <w:rsid w:val="008D6374"/>
    <w:rsid w:val="008E0E32"/>
    <w:rsid w:val="008E12AC"/>
    <w:rsid w:val="00902A7C"/>
    <w:rsid w:val="009042F2"/>
    <w:rsid w:val="00907512"/>
    <w:rsid w:val="00914317"/>
    <w:rsid w:val="00945C9C"/>
    <w:rsid w:val="0094772A"/>
    <w:rsid w:val="00951E27"/>
    <w:rsid w:val="009C5B05"/>
    <w:rsid w:val="009C5C04"/>
    <w:rsid w:val="009D32E5"/>
    <w:rsid w:val="00A055CF"/>
    <w:rsid w:val="00A27362"/>
    <w:rsid w:val="00A33F02"/>
    <w:rsid w:val="00A364C6"/>
    <w:rsid w:val="00A51E8F"/>
    <w:rsid w:val="00A52D31"/>
    <w:rsid w:val="00A60BB3"/>
    <w:rsid w:val="00A91067"/>
    <w:rsid w:val="00AE4CC4"/>
    <w:rsid w:val="00AF7758"/>
    <w:rsid w:val="00B3685C"/>
    <w:rsid w:val="00B4666D"/>
    <w:rsid w:val="00B57005"/>
    <w:rsid w:val="00B61565"/>
    <w:rsid w:val="00B868B5"/>
    <w:rsid w:val="00BB7FA8"/>
    <w:rsid w:val="00C10E8C"/>
    <w:rsid w:val="00C34D6B"/>
    <w:rsid w:val="00C57168"/>
    <w:rsid w:val="00C64E57"/>
    <w:rsid w:val="00C74B31"/>
    <w:rsid w:val="00D15137"/>
    <w:rsid w:val="00D21343"/>
    <w:rsid w:val="00D2430A"/>
    <w:rsid w:val="00D375E7"/>
    <w:rsid w:val="00D40C56"/>
    <w:rsid w:val="00D51974"/>
    <w:rsid w:val="00D82CF0"/>
    <w:rsid w:val="00DA283C"/>
    <w:rsid w:val="00DB20C8"/>
    <w:rsid w:val="00E02597"/>
    <w:rsid w:val="00E1238B"/>
    <w:rsid w:val="00E27F3B"/>
    <w:rsid w:val="00E33A8F"/>
    <w:rsid w:val="00E9077C"/>
    <w:rsid w:val="00E92B3E"/>
    <w:rsid w:val="00ED7783"/>
    <w:rsid w:val="00EE06AA"/>
    <w:rsid w:val="00EF3FD3"/>
    <w:rsid w:val="00EF6686"/>
    <w:rsid w:val="00F02C6F"/>
    <w:rsid w:val="00F10C0B"/>
    <w:rsid w:val="00F22550"/>
    <w:rsid w:val="00F22D00"/>
    <w:rsid w:val="00F24080"/>
    <w:rsid w:val="00F92065"/>
    <w:rsid w:val="00FA5C78"/>
    <w:rsid w:val="00FE179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58000"/>
  <w15:chartTrackingRefBased/>
  <w15:docId w15:val="{7B263138-9D99-4B38-8850-0F45610B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1778"/>
    <w:pPr>
      <w:spacing w:line="360" w:lineRule="auto"/>
    </w:pPr>
    <w:rPr>
      <w:rFonts w:ascii="Times New Roman" w:hAnsi="Times New Roman"/>
      <w:sz w:val="28"/>
    </w:rPr>
  </w:style>
  <w:style w:type="paragraph" w:styleId="berschrift1">
    <w:name w:val="heading 1"/>
    <w:basedOn w:val="Standard"/>
    <w:next w:val="Standard"/>
    <w:link w:val="berschrift1Zchn"/>
    <w:uiPriority w:val="9"/>
    <w:qFormat/>
    <w:rsid w:val="002865E0"/>
    <w:pPr>
      <w:keepNext/>
      <w:keepLines/>
      <w:numPr>
        <w:numId w:val="3"/>
      </w:numPr>
      <w:spacing w:before="480" w:after="360"/>
      <w:outlineLvl w:val="0"/>
    </w:pPr>
    <w:rPr>
      <w:rFonts w:eastAsiaTheme="majorEastAsia" w:cstheme="majorBidi"/>
      <w:b/>
      <w:sz w:val="32"/>
      <w:szCs w:val="32"/>
    </w:rPr>
  </w:style>
  <w:style w:type="paragraph" w:styleId="berschrift2">
    <w:name w:val="heading 2"/>
    <w:basedOn w:val="Standard"/>
    <w:next w:val="Standard"/>
    <w:link w:val="berschrift2Zchn"/>
    <w:uiPriority w:val="9"/>
    <w:unhideWhenUsed/>
    <w:qFormat/>
    <w:rsid w:val="002865E0"/>
    <w:pPr>
      <w:keepNext/>
      <w:keepLines/>
      <w:numPr>
        <w:ilvl w:val="1"/>
        <w:numId w:val="3"/>
      </w:numPr>
      <w:spacing w:before="360" w:after="240"/>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qFormat/>
    <w:rsid w:val="002865E0"/>
    <w:pPr>
      <w:keepNext/>
      <w:keepLines/>
      <w:numPr>
        <w:ilvl w:val="2"/>
        <w:numId w:val="1"/>
      </w:numPr>
      <w:spacing w:before="360" w:after="360"/>
      <w:outlineLvl w:val="2"/>
    </w:pPr>
    <w:rPr>
      <w:rFonts w:eastAsiaTheme="majorEastAsia" w:cstheme="majorBidi"/>
      <w:b/>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F02C6F"/>
    <w:pPr>
      <w:spacing w:after="0" w:line="240" w:lineRule="auto"/>
      <w:contextualSpacing/>
      <w:jc w:val="center"/>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F02C6F"/>
    <w:rPr>
      <w:rFonts w:ascii="Times New Roman" w:eastAsiaTheme="majorEastAsia" w:hAnsi="Times New Roman" w:cstheme="majorBidi"/>
      <w:spacing w:val="-10"/>
      <w:kern w:val="28"/>
      <w:sz w:val="56"/>
      <w:szCs w:val="56"/>
    </w:rPr>
  </w:style>
  <w:style w:type="character" w:customStyle="1" w:styleId="berschrift1Zchn">
    <w:name w:val="Überschrift 1 Zchn"/>
    <w:basedOn w:val="Absatz-Standardschriftart"/>
    <w:link w:val="berschrift1"/>
    <w:uiPriority w:val="9"/>
    <w:rsid w:val="002865E0"/>
    <w:rPr>
      <w:rFonts w:ascii="Times New Roman" w:eastAsiaTheme="majorEastAsia" w:hAnsi="Times New Roman" w:cstheme="majorBidi"/>
      <w:b/>
      <w:sz w:val="32"/>
      <w:szCs w:val="32"/>
    </w:rPr>
  </w:style>
  <w:style w:type="character" w:customStyle="1" w:styleId="berschrift2Zchn">
    <w:name w:val="Überschrift 2 Zchn"/>
    <w:basedOn w:val="Absatz-Standardschriftart"/>
    <w:link w:val="berschrift2"/>
    <w:uiPriority w:val="9"/>
    <w:rsid w:val="002865E0"/>
    <w:rPr>
      <w:rFonts w:ascii="Times New Roman" w:eastAsiaTheme="majorEastAsia" w:hAnsi="Times New Roman" w:cstheme="majorBidi"/>
      <w:b/>
      <w:sz w:val="32"/>
      <w:szCs w:val="26"/>
    </w:rPr>
  </w:style>
  <w:style w:type="character" w:customStyle="1" w:styleId="berschrift3Zchn">
    <w:name w:val="Überschrift 3 Zchn"/>
    <w:basedOn w:val="Absatz-Standardschriftart"/>
    <w:link w:val="berschrift3"/>
    <w:uiPriority w:val="9"/>
    <w:rsid w:val="002865E0"/>
    <w:rPr>
      <w:rFonts w:ascii="Times New Roman" w:eastAsiaTheme="majorEastAsia" w:hAnsi="Times New Roman" w:cstheme="majorBidi"/>
      <w:b/>
      <w:sz w:val="28"/>
      <w:szCs w:val="24"/>
    </w:rPr>
  </w:style>
  <w:style w:type="character" w:styleId="Hyperlink">
    <w:name w:val="Hyperlink"/>
    <w:basedOn w:val="Absatz-Standardschriftart"/>
    <w:uiPriority w:val="99"/>
    <w:unhideWhenUsed/>
    <w:rsid w:val="00441778"/>
    <w:rPr>
      <w:color w:val="0563C1" w:themeColor="hyperlink"/>
      <w:u w:val="single"/>
    </w:rPr>
  </w:style>
  <w:style w:type="paragraph" w:styleId="Kopfzeile">
    <w:name w:val="header"/>
    <w:basedOn w:val="Standard"/>
    <w:link w:val="KopfzeileZchn"/>
    <w:uiPriority w:val="99"/>
    <w:unhideWhenUsed/>
    <w:rsid w:val="009042F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042F2"/>
    <w:rPr>
      <w:rFonts w:ascii="Times New Roman" w:hAnsi="Times New Roman"/>
      <w:sz w:val="28"/>
    </w:rPr>
  </w:style>
  <w:style w:type="paragraph" w:styleId="Fuzeile">
    <w:name w:val="footer"/>
    <w:basedOn w:val="Standard"/>
    <w:link w:val="FuzeileZchn"/>
    <w:uiPriority w:val="99"/>
    <w:unhideWhenUsed/>
    <w:rsid w:val="009042F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042F2"/>
    <w:rPr>
      <w:rFonts w:ascii="Times New Roman" w:hAnsi="Times New Roman"/>
      <w:sz w:val="28"/>
    </w:rPr>
  </w:style>
  <w:style w:type="character" w:styleId="BesuchterLink">
    <w:name w:val="FollowedHyperlink"/>
    <w:basedOn w:val="Absatz-Standardschriftart"/>
    <w:uiPriority w:val="99"/>
    <w:semiHidden/>
    <w:unhideWhenUsed/>
    <w:rsid w:val="00A364C6"/>
    <w:rPr>
      <w:color w:val="954F72" w:themeColor="followedHyperlink"/>
      <w:u w:val="single"/>
    </w:rPr>
  </w:style>
  <w:style w:type="paragraph" w:styleId="Funotentext">
    <w:name w:val="footnote text"/>
    <w:basedOn w:val="Standard"/>
    <w:link w:val="FunotentextZchn"/>
    <w:uiPriority w:val="99"/>
    <w:semiHidden/>
    <w:unhideWhenUsed/>
    <w:rsid w:val="005C31E5"/>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C31E5"/>
    <w:rPr>
      <w:rFonts w:ascii="Times New Roman" w:hAnsi="Times New Roman"/>
      <w:sz w:val="20"/>
      <w:szCs w:val="20"/>
    </w:rPr>
  </w:style>
  <w:style w:type="character" w:styleId="Funotenzeichen">
    <w:name w:val="footnote reference"/>
    <w:basedOn w:val="Absatz-Standardschriftart"/>
    <w:uiPriority w:val="99"/>
    <w:semiHidden/>
    <w:unhideWhenUsed/>
    <w:rsid w:val="005C31E5"/>
    <w:rPr>
      <w:vertAlign w:val="superscript"/>
    </w:rPr>
  </w:style>
  <w:style w:type="paragraph" w:customStyle="1" w:styleId="Beschriftung1">
    <w:name w:val="Beschriftung1"/>
    <w:basedOn w:val="Standard"/>
    <w:next w:val="Standard"/>
    <w:uiPriority w:val="35"/>
    <w:unhideWhenUsed/>
    <w:qFormat/>
    <w:rsid w:val="008D28EB"/>
    <w:pPr>
      <w:spacing w:after="200" w:line="240" w:lineRule="auto"/>
      <w:ind w:firstLine="284"/>
    </w:pPr>
    <w:rPr>
      <w:i/>
      <w:iCs/>
      <w:color w:val="44546A"/>
      <w:sz w:val="18"/>
      <w:szCs w:val="18"/>
    </w:rPr>
  </w:style>
  <w:style w:type="paragraph" w:styleId="Listenabsatz">
    <w:name w:val="List Paragraph"/>
    <w:basedOn w:val="Standard"/>
    <w:uiPriority w:val="34"/>
    <w:qFormat/>
    <w:rsid w:val="008D28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53450-93A8-4ADC-A477-F18649A7B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734</Words>
  <Characters>4627</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Thoma</dc:creator>
  <cp:keywords/>
  <dc:description/>
  <cp:lastModifiedBy>Christoph Thoma</cp:lastModifiedBy>
  <cp:revision>7</cp:revision>
  <cp:lastPrinted>2021-11-17T14:42:00Z</cp:lastPrinted>
  <dcterms:created xsi:type="dcterms:W3CDTF">2021-08-12T09:57:00Z</dcterms:created>
  <dcterms:modified xsi:type="dcterms:W3CDTF">2021-11-17T14:42:00Z</dcterms:modified>
</cp:coreProperties>
</file>